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088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0883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80"/>
              <w:spacing w:after="0"/>
              <w:rPr>
                <w:sz w:val="20"/>
                <w:szCs w:val="20"/>
                <w:color w:val="auto"/>
              </w:rPr>
            </w:pPr>
            <w:r>
              <w:rPr>
                <w:rFonts w:ascii="Arial" w:cs="Arial" w:eastAsia="Arial" w:hAnsi="Arial"/>
                <w:sz w:val="18"/>
                <w:szCs w:val="18"/>
                <w:color w:val="0000FF"/>
              </w:rPr>
              <w:t>10/11/2013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4,500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80" w:type="dxa"/>
            <w:vAlign w:val="bottom"/>
            <w:vMerge w:val="restart"/>
          </w:tcPr>
          <w:p>
            <w:pPr>
              <w:jc w:val="center"/>
              <w:ind w:left="88"/>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9.59</w:t>
            </w:r>
          </w:p>
        </w:tc>
        <w:tc>
          <w:tcPr>
            <w:tcW w:w="200" w:type="dxa"/>
            <w:vAlign w:val="bottom"/>
          </w:tcPr>
          <w:p>
            <w:pPr>
              <w:spacing w:after="0"/>
              <w:rPr>
                <w:sz w:val="22"/>
                <w:szCs w:val="22"/>
                <w:color w:val="auto"/>
              </w:rPr>
            </w:pPr>
          </w:p>
        </w:tc>
        <w:tc>
          <w:tcPr>
            <w:tcW w:w="1220" w:type="dxa"/>
            <w:vAlign w:val="bottom"/>
            <w:gridSpan w:val="2"/>
            <w:vMerge w:val="restart"/>
          </w:tcPr>
          <w:p>
            <w:pPr>
              <w:ind w:left="400"/>
              <w:spacing w:after="0"/>
              <w:rPr>
                <w:sz w:val="20"/>
                <w:szCs w:val="20"/>
                <w:color w:val="auto"/>
              </w:rPr>
            </w:pPr>
            <w:r>
              <w:rPr>
                <w:rFonts w:ascii="Arial" w:cs="Arial" w:eastAsia="Arial" w:hAnsi="Arial"/>
                <w:sz w:val="18"/>
                <w:szCs w:val="18"/>
                <w:color w:val="0000FF"/>
              </w:rPr>
              <w:t>7,508</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80"/>
              <w:spacing w:after="0"/>
              <w:rPr>
                <w:sz w:val="20"/>
                <w:szCs w:val="20"/>
                <w:color w:val="auto"/>
              </w:rPr>
            </w:pPr>
            <w:r>
              <w:rPr>
                <w:rFonts w:ascii="Arial" w:cs="Arial" w:eastAsia="Arial" w:hAnsi="Arial"/>
                <w:sz w:val="18"/>
                <w:szCs w:val="18"/>
                <w:color w:val="0000FF"/>
              </w:rPr>
              <w:t>10/11/2013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4,500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30.6666</w:t>
            </w:r>
            <w:r>
              <w:rPr>
                <w:rFonts w:ascii="Arial" w:cs="Arial" w:eastAsia="Arial" w:hAnsi="Arial"/>
                <w:sz w:val="22"/>
                <w:szCs w:val="22"/>
                <w:color w:val="008000"/>
                <w:w w:val="85"/>
                <w:vertAlign w:val="superscript"/>
              </w:rPr>
              <w:t>(2)</w:t>
            </w:r>
          </w:p>
        </w:tc>
        <w:tc>
          <w:tcPr>
            <w:tcW w:w="1220" w:type="dxa"/>
            <w:vAlign w:val="bottom"/>
            <w:gridSpan w:val="2"/>
            <w:vMerge w:val="restart"/>
          </w:tcPr>
          <w:p>
            <w:pPr>
              <w:ind w:left="400"/>
              <w:spacing w:after="0"/>
              <w:rPr>
                <w:sz w:val="20"/>
                <w:szCs w:val="20"/>
                <w:color w:val="auto"/>
              </w:rPr>
            </w:pPr>
            <w:r>
              <w:rPr>
                <w:rFonts w:ascii="Arial" w:cs="Arial" w:eastAsia="Arial" w:hAnsi="Arial"/>
                <w:sz w:val="18"/>
                <w:szCs w:val="18"/>
                <w:color w:val="0000FF"/>
              </w:rPr>
              <w:t>3,008</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80"/>
              <w:spacing w:after="0"/>
              <w:rPr>
                <w:sz w:val="20"/>
                <w:szCs w:val="20"/>
                <w:color w:val="auto"/>
              </w:rPr>
            </w:pPr>
            <w:r>
              <w:rPr>
                <w:rFonts w:ascii="Arial" w:cs="Arial" w:eastAsia="Arial" w:hAnsi="Arial"/>
                <w:sz w:val="18"/>
                <w:szCs w:val="18"/>
                <w:color w:val="0000FF"/>
              </w:rPr>
              <w:t>10/11/2013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6"/>
              </w:rPr>
              <w:t>293</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30.6666</w:t>
            </w:r>
            <w:r>
              <w:rPr>
                <w:rFonts w:ascii="Arial" w:cs="Arial" w:eastAsia="Arial" w:hAnsi="Arial"/>
                <w:sz w:val="22"/>
                <w:szCs w:val="22"/>
                <w:color w:val="008000"/>
                <w:w w:val="85"/>
                <w:vertAlign w:val="superscript"/>
              </w:rPr>
              <w:t>(2)</w:t>
            </w:r>
          </w:p>
        </w:tc>
        <w:tc>
          <w:tcPr>
            <w:tcW w:w="1220" w:type="dxa"/>
            <w:vAlign w:val="bottom"/>
            <w:gridSpan w:val="2"/>
            <w:vMerge w:val="restart"/>
          </w:tcPr>
          <w:p>
            <w:pPr>
              <w:ind w:left="400"/>
              <w:spacing w:after="0"/>
              <w:rPr>
                <w:sz w:val="20"/>
                <w:szCs w:val="20"/>
                <w:color w:val="auto"/>
              </w:rPr>
            </w:pPr>
            <w:r>
              <w:rPr>
                <w:rFonts w:ascii="Arial" w:cs="Arial" w:eastAsia="Arial" w:hAnsi="Arial"/>
                <w:sz w:val="18"/>
                <w:szCs w:val="18"/>
                <w:color w:val="0000FF"/>
              </w:rPr>
              <w:t>2,715</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40" w:type="dxa"/>
            <w:vAlign w:val="bottom"/>
            <w:tcBorders>
              <w:bottom w:val="single" w:sz="8" w:color="2C2C2C"/>
            </w:tcBorders>
            <w:gridSpan w:val="11"/>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40" w:type="dxa"/>
            <w:vAlign w:val="bottom"/>
            <w:gridSpan w:val="8"/>
          </w:tcPr>
          <w:p>
            <w:pPr>
              <w:ind w:left="6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4,500</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9.59</w:t>
            </w:r>
          </w:p>
        </w:tc>
        <w:tc>
          <w:tcPr>
            <w:tcW w:w="1180" w:type="dxa"/>
            <w:vAlign w:val="bottom"/>
          </w:tcPr>
          <w:p>
            <w:pPr>
              <w:ind w:left="260"/>
              <w:spacing w:after="0" w:line="149" w:lineRule="exact"/>
              <w:rPr>
                <w:sz w:val="20"/>
                <w:szCs w:val="20"/>
                <w:color w:val="auto"/>
              </w:rPr>
            </w:pPr>
            <w:r>
              <w:rPr>
                <w:rFonts w:ascii="Arial" w:cs="Arial" w:eastAsia="Arial" w:hAnsi="Arial"/>
                <w:sz w:val="14"/>
                <w:szCs w:val="14"/>
                <w:color w:val="0000FF"/>
              </w:rPr>
              <w:t>10/11/2013</w:t>
            </w:r>
          </w:p>
        </w:tc>
        <w:tc>
          <w:tcPr>
            <w:tcW w:w="1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0000FF"/>
                <w:w w:val="96"/>
              </w:rPr>
              <w:t>4,500</w:t>
            </w:r>
          </w:p>
        </w:tc>
        <w:tc>
          <w:tcPr>
            <w:tcW w:w="82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0000FF"/>
                <w:w w:val="85"/>
              </w:rPr>
              <w:t>06/01/2019</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3"/>
              </w:rPr>
              <w:t>par value</w:t>
            </w: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00"/>
              <w:spacing w:after="0" w:line="149" w:lineRule="exact"/>
              <w:rPr>
                <w:sz w:val="20"/>
                <w:szCs w:val="20"/>
                <w:color w:val="auto"/>
              </w:rPr>
            </w:pPr>
            <w:r>
              <w:rPr>
                <w:rFonts w:ascii="Arial" w:cs="Arial" w:eastAsia="Arial" w:hAnsi="Arial"/>
                <w:sz w:val="14"/>
                <w:szCs w:val="14"/>
                <w:color w:val="0000FF"/>
                <w:w w:val="88"/>
              </w:rPr>
              <w:t>60,109</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0000FF"/>
                <w:w w:val="97"/>
              </w:rPr>
              <w:t>$0.001</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1"/>
              </w:rPr>
              <w:t>per share</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October 11, 2013 the reporting person exercised previously issued options to purchase an aggregate of 4,500 shares of common stock of ExlService Holdings, Inc.</w:t>
      </w:r>
    </w:p>
    <w:p>
      <w:pPr>
        <w:spacing w:after="0" w:line="41" w:lineRule="exact"/>
        <w:rPr>
          <w:rFonts w:ascii="Arial" w:cs="Arial" w:eastAsia="Arial" w:hAnsi="Arial"/>
          <w:sz w:val="14"/>
          <w:szCs w:val="14"/>
          <w:color w:val="008000"/>
        </w:rPr>
      </w:pPr>
    </w:p>
    <w:p>
      <w:pPr>
        <w:jc w:val="both"/>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$30.642 to $30.75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60,109 of these options are currently vested and exercisable.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10/16/2013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2019-12-16T15:17:51Z</dcterms:created>
  <dcterms:modified xsi:type="dcterms:W3CDTF">2019-12-16T15:17:51Z</dcterms:modified>
</cp:coreProperties>
</file>