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4896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20"/>
        <w:spacing w:after="0" w:line="383"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ind w:left="14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Executive Vice President &amp;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02/05/2024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7,375</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139,895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02/05/2024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2,903</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30.83</w:t>
            </w:r>
            <w:r>
              <w:rPr>
                <w:rFonts w:ascii="Times New Roman" w:cs="Times New Roman" w:eastAsia="Times New Roman" w:hAnsi="Times New Roman"/>
                <w:sz w:val="21"/>
                <w:szCs w:val="21"/>
                <w:color w:val="008000"/>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136,992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7,375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02/05/2024</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7,375</w:t>
            </w: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02/03/2031</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3, 2020, the reporting person was granted 5,898 (pre-split) restricted stock units, vesting in four equal annual installments beginning on the first anniversary of the grant date. 25 percent of the restricted stock units became vested on February 3, 2021, an additional 25 percent of the restricted stock units became vested on February 3, 2022, an additional 25 percent of the restricted stock units became vested on February 3, 2023, and the remaining balance of 25 percent of the restricted stock units became vested on February 3,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2024-02-06T16:38:34Z</dcterms:created>
  <dcterms:modified xsi:type="dcterms:W3CDTF">2024-02-06T16:38:34Z</dcterms:modified>
</cp:coreProperties>
</file>