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sz w:val="20"/>
          <w:szCs w:val="20"/>
          <w:color w:val="auto"/>
        </w:rPr>
      </w:pPr>
      <w:r>
        <w:rPr>
          <w:rFonts w:ascii="Courier New" w:cs="Courier New" w:eastAsia="Courier New" w:hAnsi="Courier New"/>
          <w:sz w:val="19"/>
          <w:szCs w:val="19"/>
          <w:color w:val="auto"/>
        </w:rPr>
        <w:t>us3020811044_012819.txt</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SECURITIES AND EXCHANGE COMMISSION</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Washington, D.C. 20549</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SCHEDULE 13G</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Under the Securities Exchange Act of 1934</w:t>
      </w:r>
    </w:p>
    <w:p>
      <w:pPr>
        <w:spacing w:after="0" w:line="213" w:lineRule="exact"/>
        <w:rPr>
          <w:sz w:val="24"/>
          <w:szCs w:val="24"/>
          <w:color w:val="auto"/>
        </w:rPr>
      </w:pPr>
    </w:p>
    <w:p>
      <w:pPr>
        <w:ind w:left="6"/>
        <w:spacing w:after="0"/>
        <w:tabs>
          <w:tab w:leader="none" w:pos="1766" w:val="left"/>
        </w:tabs>
        <w:rPr>
          <w:sz w:val="20"/>
          <w:szCs w:val="20"/>
          <w:color w:val="auto"/>
        </w:rPr>
      </w:pPr>
      <w:r>
        <w:rPr>
          <w:rFonts w:ascii="Courier New" w:cs="Courier New" w:eastAsia="Courier New" w:hAnsi="Courier New"/>
          <w:sz w:val="19"/>
          <w:szCs w:val="19"/>
          <w:color w:val="auto"/>
        </w:rPr>
        <w:t>(Amendment No:</w:t>
      </w:r>
      <w:r>
        <w:rPr>
          <w:sz w:val="20"/>
          <w:szCs w:val="20"/>
          <w:color w:val="auto"/>
        </w:rPr>
        <w:tab/>
      </w:r>
      <w:r>
        <w:rPr>
          <w:rFonts w:ascii="Courier New" w:cs="Courier New" w:eastAsia="Courier New" w:hAnsi="Courier New"/>
          <w:sz w:val="16"/>
          <w:szCs w:val="16"/>
          <w:color w:val="auto"/>
        </w:rPr>
        <w:t>14)</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ExlService Holdings, Inc.</w:t>
      </w:r>
    </w:p>
    <w:p>
      <w:pPr>
        <w:ind w:left="6"/>
        <w:spacing w:after="0" w:line="238" w:lineRule="auto"/>
        <w:rPr>
          <w:sz w:val="20"/>
          <w:szCs w:val="20"/>
          <w:color w:val="auto"/>
        </w:rPr>
      </w:pPr>
      <w:r>
        <w:rPr>
          <w:rFonts w:ascii="Courier New" w:cs="Courier New" w:eastAsia="Courier New" w:hAnsi="Courier New"/>
          <w:sz w:val="19"/>
          <w:szCs w:val="19"/>
          <w:color w:val="auto"/>
        </w:rPr>
        <w:t>--------------------------------------------------------</w:t>
      </w:r>
    </w:p>
    <w:p>
      <w:pPr>
        <w:ind w:left="6"/>
        <w:spacing w:after="0"/>
        <w:rPr>
          <w:sz w:val="20"/>
          <w:szCs w:val="20"/>
          <w:color w:val="auto"/>
        </w:rPr>
      </w:pPr>
      <w:r>
        <w:rPr>
          <w:rFonts w:ascii="Courier New" w:cs="Courier New" w:eastAsia="Courier New" w:hAnsi="Courier New"/>
          <w:sz w:val="19"/>
          <w:szCs w:val="19"/>
          <w:color w:val="auto"/>
        </w:rPr>
        <w:t>(Name of Issuer)</w:t>
      </w:r>
    </w:p>
    <w:p>
      <w:pPr>
        <w:spacing w:after="0" w:line="212" w:lineRule="exact"/>
        <w:rPr>
          <w:sz w:val="24"/>
          <w:szCs w:val="24"/>
          <w:color w:val="auto"/>
        </w:rPr>
      </w:pPr>
    </w:p>
    <w:p>
      <w:pPr>
        <w:ind w:left="106"/>
        <w:spacing w:after="0"/>
        <w:rPr>
          <w:sz w:val="20"/>
          <w:szCs w:val="20"/>
          <w:color w:val="auto"/>
        </w:rPr>
      </w:pPr>
      <w:r>
        <w:rPr>
          <w:rFonts w:ascii="Courier New" w:cs="Courier New" w:eastAsia="Courier New" w:hAnsi="Courier New"/>
          <w:sz w:val="19"/>
          <w:szCs w:val="19"/>
          <w:color w:val="auto"/>
        </w:rPr>
        <w:t>Common Stock</w:t>
      </w:r>
    </w:p>
    <w:p>
      <w:pPr>
        <w:ind w:left="6"/>
        <w:spacing w:after="0" w:line="238" w:lineRule="auto"/>
        <w:rPr>
          <w:sz w:val="20"/>
          <w:szCs w:val="20"/>
          <w:color w:val="auto"/>
        </w:rPr>
      </w:pPr>
      <w:r>
        <w:rPr>
          <w:rFonts w:ascii="Courier New" w:cs="Courier New" w:eastAsia="Courier New" w:hAnsi="Courier New"/>
          <w:sz w:val="19"/>
          <w:szCs w:val="19"/>
          <w:color w:val="auto"/>
        </w:rPr>
        <w:t>--------------------------------------------------------</w:t>
      </w:r>
    </w:p>
    <w:p>
      <w:pPr>
        <w:ind w:left="6"/>
        <w:spacing w:after="0"/>
        <w:rPr>
          <w:sz w:val="20"/>
          <w:szCs w:val="20"/>
          <w:color w:val="auto"/>
        </w:rPr>
      </w:pPr>
      <w:r>
        <w:rPr>
          <w:rFonts w:ascii="Courier New" w:cs="Courier New" w:eastAsia="Courier New" w:hAnsi="Courier New"/>
          <w:sz w:val="19"/>
          <w:szCs w:val="19"/>
          <w:color w:val="auto"/>
        </w:rPr>
        <w:t>(Title of Class of Securities)</w:t>
      </w:r>
    </w:p>
    <w:p>
      <w:pPr>
        <w:spacing w:after="0" w:line="212"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302081104</w:t>
      </w:r>
    </w:p>
    <w:p>
      <w:pPr>
        <w:ind w:left="6"/>
        <w:spacing w:after="0" w:line="238" w:lineRule="auto"/>
        <w:rPr>
          <w:sz w:val="20"/>
          <w:szCs w:val="20"/>
          <w:color w:val="auto"/>
        </w:rPr>
      </w:pPr>
      <w:r>
        <w:rPr>
          <w:rFonts w:ascii="Courier New" w:cs="Courier New" w:eastAsia="Courier New" w:hAnsi="Courier New"/>
          <w:sz w:val="19"/>
          <w:szCs w:val="19"/>
          <w:color w:val="auto"/>
        </w:rPr>
        <w:t>--------------------------------------------------------</w:t>
      </w:r>
    </w:p>
    <w:p>
      <w:pPr>
        <w:ind w:left="6"/>
        <w:spacing w:after="0"/>
        <w:rPr>
          <w:sz w:val="20"/>
          <w:szCs w:val="20"/>
          <w:color w:val="auto"/>
        </w:rPr>
      </w:pPr>
      <w:r>
        <w:rPr>
          <w:rFonts w:ascii="Courier New" w:cs="Courier New" w:eastAsia="Courier New" w:hAnsi="Courier New"/>
          <w:sz w:val="19"/>
          <w:szCs w:val="19"/>
          <w:color w:val="auto"/>
        </w:rPr>
        <w:t>(CUSIP Number)</w:t>
      </w:r>
    </w:p>
    <w:p>
      <w:pPr>
        <w:spacing w:after="0" w:line="212"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December 31, 2018</w:t>
      </w:r>
    </w:p>
    <w:p>
      <w:pPr>
        <w:ind w:left="6"/>
        <w:spacing w:after="0" w:line="238" w:lineRule="auto"/>
        <w:rPr>
          <w:sz w:val="20"/>
          <w:szCs w:val="20"/>
          <w:color w:val="auto"/>
        </w:rPr>
      </w:pPr>
      <w:r>
        <w:rPr>
          <w:rFonts w:ascii="Courier New" w:cs="Courier New" w:eastAsia="Courier New" w:hAnsi="Courier New"/>
          <w:sz w:val="19"/>
          <w:szCs w:val="19"/>
          <w:color w:val="auto"/>
        </w:rPr>
        <w:t>--------------------------------------------------------</w:t>
      </w:r>
    </w:p>
    <w:p>
      <w:pPr>
        <w:ind w:left="6"/>
        <w:spacing w:after="0"/>
        <w:rPr>
          <w:sz w:val="20"/>
          <w:szCs w:val="20"/>
          <w:color w:val="auto"/>
        </w:rPr>
      </w:pPr>
      <w:r>
        <w:rPr>
          <w:rFonts w:ascii="Courier New" w:cs="Courier New" w:eastAsia="Courier New" w:hAnsi="Courier New"/>
          <w:sz w:val="19"/>
          <w:szCs w:val="19"/>
          <w:color w:val="auto"/>
        </w:rPr>
        <w:t>(Date of Event Which Requires Filing of this Statement)</w:t>
      </w:r>
    </w:p>
    <w:p>
      <w:pPr>
        <w:spacing w:after="0" w:line="219" w:lineRule="exact"/>
        <w:rPr>
          <w:sz w:val="24"/>
          <w:szCs w:val="24"/>
          <w:color w:val="auto"/>
        </w:rPr>
      </w:pPr>
    </w:p>
    <w:p>
      <w:pPr>
        <w:ind w:left="6" w:right="4120"/>
        <w:spacing w:after="0" w:line="235" w:lineRule="auto"/>
        <w:rPr>
          <w:sz w:val="20"/>
          <w:szCs w:val="20"/>
          <w:color w:val="auto"/>
        </w:rPr>
      </w:pPr>
      <w:r>
        <w:rPr>
          <w:rFonts w:ascii="Courier New" w:cs="Courier New" w:eastAsia="Courier New" w:hAnsi="Courier New"/>
          <w:sz w:val="19"/>
          <w:szCs w:val="19"/>
          <w:color w:val="auto"/>
        </w:rPr>
        <w:t>Check the appropriate box to designate the rule pursuant to which this Schedule is filed:</w:t>
      </w:r>
    </w:p>
    <w:p>
      <w:pPr>
        <w:spacing w:after="0" w:line="220" w:lineRule="exact"/>
        <w:rPr>
          <w:sz w:val="24"/>
          <w:szCs w:val="24"/>
          <w:color w:val="auto"/>
        </w:rPr>
      </w:pPr>
    </w:p>
    <w:p>
      <w:pPr>
        <w:jc w:val="both"/>
        <w:ind w:left="6" w:right="8800" w:hanging="6"/>
        <w:spacing w:after="0" w:line="254" w:lineRule="auto"/>
        <w:tabs>
          <w:tab w:leader="none" w:pos="45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 [ ] Rule 13d-1(c) [ ] Rule 13d-1(d)</w:t>
      </w:r>
    </w:p>
    <w:p>
      <w:pPr>
        <w:spacing w:after="0" w:line="200" w:lineRule="exact"/>
        <w:rPr>
          <w:sz w:val="24"/>
          <w:szCs w:val="24"/>
          <w:color w:val="auto"/>
        </w:rPr>
      </w:pPr>
    </w:p>
    <w:p>
      <w:pPr>
        <w:spacing w:after="0" w:line="222" w:lineRule="exact"/>
        <w:rPr>
          <w:sz w:val="24"/>
          <w:szCs w:val="24"/>
          <w:color w:val="auto"/>
        </w:rPr>
      </w:pPr>
    </w:p>
    <w:p>
      <w:pPr>
        <w:ind w:left="6" w:right="4340"/>
        <w:spacing w:after="0" w:line="251"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w:t>
      </w:r>
    </w:p>
    <w:p>
      <w:pPr>
        <w:ind w:left="6"/>
        <w:spacing w:after="0" w:line="235" w:lineRule="auto"/>
        <w:rPr>
          <w:sz w:val="20"/>
          <w:szCs w:val="20"/>
          <w:color w:val="auto"/>
        </w:rPr>
      </w:pPr>
      <w:r>
        <w:rPr>
          <w:rFonts w:ascii="Courier New" w:cs="Courier New" w:eastAsia="Courier New" w:hAnsi="Courier New"/>
          <w:sz w:val="19"/>
          <w:szCs w:val="19"/>
          <w:color w:val="auto"/>
        </w:rPr>
        <w:t>would alter the disclosures provided in a prior cover page.</w:t>
      </w:r>
    </w:p>
    <w:p>
      <w:pPr>
        <w:spacing w:after="0" w:line="220" w:lineRule="exact"/>
        <w:rPr>
          <w:sz w:val="24"/>
          <w:szCs w:val="24"/>
          <w:color w:val="auto"/>
        </w:rPr>
      </w:pPr>
    </w:p>
    <w:p>
      <w:pPr>
        <w:ind w:left="6" w:right="4560"/>
        <w:spacing w:after="0" w:line="252"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ind w:left="6"/>
        <w:spacing w:after="0"/>
        <w:tabs>
          <w:tab w:leader="none" w:pos="1306" w:val="left"/>
        </w:tabs>
        <w:rPr>
          <w:sz w:val="20"/>
          <w:szCs w:val="20"/>
          <w:color w:val="auto"/>
        </w:rPr>
      </w:pPr>
      <w:r>
        <w:rPr>
          <w:rFonts w:ascii="Courier New" w:cs="Courier New" w:eastAsia="Courier New" w:hAnsi="Courier New"/>
          <w:sz w:val="19"/>
          <w:szCs w:val="19"/>
          <w:color w:val="auto"/>
        </w:rPr>
        <w:t>CUSIP No.</w:t>
      </w:r>
      <w:r>
        <w:rPr>
          <w:sz w:val="20"/>
          <w:szCs w:val="20"/>
          <w:color w:val="auto"/>
        </w:rPr>
        <w:tab/>
      </w:r>
      <w:r>
        <w:rPr>
          <w:rFonts w:ascii="Courier New" w:cs="Courier New" w:eastAsia="Courier New" w:hAnsi="Courier New"/>
          <w:sz w:val="18"/>
          <w:szCs w:val="18"/>
          <w:color w:val="auto"/>
        </w:rPr>
        <w:t>302081104</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(1)Names of reporting persons. BlackRock, Inc.</w:t>
      </w:r>
    </w:p>
    <w:p>
      <w:pPr>
        <w:spacing w:after="0" w:line="200" w:lineRule="exact"/>
        <w:rPr>
          <w:sz w:val="24"/>
          <w:szCs w:val="24"/>
          <w:color w:val="auto"/>
        </w:rPr>
      </w:pPr>
    </w:p>
    <w:p>
      <w:pPr>
        <w:spacing w:after="0" w:line="227" w:lineRule="exact"/>
        <w:rPr>
          <w:sz w:val="24"/>
          <w:szCs w:val="24"/>
          <w:color w:val="auto"/>
        </w:rPr>
      </w:pPr>
    </w:p>
    <w:p>
      <w:pPr>
        <w:ind w:left="446" w:hanging="446"/>
        <w:spacing w:after="0"/>
        <w:tabs>
          <w:tab w:leader="none" w:pos="446" w:val="left"/>
        </w:tabs>
        <w:numPr>
          <w:ilvl w:val="0"/>
          <w:numId w:val="2"/>
        </w:numPr>
        <w:rPr>
          <w:rFonts w:ascii="Courier New" w:cs="Courier New" w:eastAsia="Courier New" w:hAnsi="Courier New"/>
          <w:sz w:val="19"/>
          <w:szCs w:val="19"/>
          <w:color w:val="auto"/>
        </w:rPr>
      </w:pPr>
      <w:r>
        <w:rPr>
          <w:rFonts w:ascii="Courier New" w:cs="Courier New" w:eastAsia="Courier New" w:hAnsi="Courier New"/>
          <w:sz w:val="19"/>
          <w:szCs w:val="19"/>
          <w:color w:val="auto"/>
        </w:rPr>
        <w:t>Check the appropriate box if a member of a group</w:t>
      </w:r>
    </w:p>
    <w:p>
      <w:pPr>
        <w:ind w:left="6"/>
        <w:spacing w:after="0" w:line="238"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(a) [  ]</w:t>
      </w:r>
    </w:p>
    <w:p>
      <w:pPr>
        <w:ind w:left="6"/>
        <w:spacing w:after="0" w:line="238"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(b) [X]</w:t>
      </w:r>
    </w:p>
    <w:p>
      <w:pPr>
        <w:spacing w:after="0" w:line="200" w:lineRule="exact"/>
        <w:rPr>
          <w:rFonts w:ascii="Courier New" w:cs="Courier New" w:eastAsia="Courier New" w:hAnsi="Courier New"/>
          <w:sz w:val="19"/>
          <w:szCs w:val="19"/>
          <w:color w:val="auto"/>
        </w:rPr>
      </w:pPr>
    </w:p>
    <w:p>
      <w:pPr>
        <w:spacing w:after="0" w:line="226" w:lineRule="exact"/>
        <w:rPr>
          <w:rFonts w:ascii="Courier New" w:cs="Courier New" w:eastAsia="Courier New" w:hAnsi="Courier New"/>
          <w:sz w:val="19"/>
          <w:szCs w:val="19"/>
          <w:color w:val="auto"/>
        </w:rPr>
      </w:pPr>
    </w:p>
    <w:p>
      <w:pPr>
        <w:ind w:left="446" w:hanging="446"/>
        <w:spacing w:after="0"/>
        <w:tabs>
          <w:tab w:leader="none" w:pos="446" w:val="left"/>
        </w:tabs>
        <w:numPr>
          <w:ilvl w:val="0"/>
          <w:numId w:val="2"/>
        </w:numPr>
        <w:rPr>
          <w:rFonts w:ascii="Courier New" w:cs="Courier New" w:eastAsia="Courier New" w:hAnsi="Courier New"/>
          <w:sz w:val="19"/>
          <w:szCs w:val="19"/>
          <w:color w:val="auto"/>
        </w:rPr>
      </w:pPr>
      <w:r>
        <w:rPr>
          <w:rFonts w:ascii="Courier New" w:cs="Courier New" w:eastAsia="Courier New" w:hAnsi="Courier New"/>
          <w:sz w:val="19"/>
          <w:szCs w:val="19"/>
          <w:color w:val="auto"/>
        </w:rPr>
        <w:t>SEC use only</w:t>
      </w:r>
    </w:p>
    <w:p>
      <w:pPr>
        <w:spacing w:after="0" w:line="212" w:lineRule="exact"/>
        <w:rPr>
          <w:rFonts w:ascii="Courier New" w:cs="Courier New" w:eastAsia="Courier New" w:hAnsi="Courier New"/>
          <w:sz w:val="19"/>
          <w:szCs w:val="19"/>
          <w:color w:val="auto"/>
        </w:rPr>
      </w:pPr>
    </w:p>
    <w:p>
      <w:pPr>
        <w:ind w:left="446" w:hanging="446"/>
        <w:spacing w:after="0"/>
        <w:tabs>
          <w:tab w:leader="none" w:pos="446" w:val="left"/>
        </w:tabs>
        <w:numPr>
          <w:ilvl w:val="0"/>
          <w:numId w:val="2"/>
        </w:numPr>
        <w:rPr>
          <w:rFonts w:ascii="Courier New" w:cs="Courier New" w:eastAsia="Courier New" w:hAnsi="Courier New"/>
          <w:sz w:val="19"/>
          <w:szCs w:val="19"/>
          <w:color w:val="auto"/>
        </w:rPr>
      </w:pPr>
      <w:r>
        <w:rPr>
          <w:rFonts w:ascii="Courier New" w:cs="Courier New" w:eastAsia="Courier New" w:hAnsi="Courier New"/>
          <w:sz w:val="19"/>
          <w:szCs w:val="19"/>
          <w:color w:val="auto"/>
        </w:rPr>
        <w:t>Citizenship or place of organization</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Delaware</w:t>
      </w:r>
    </w:p>
    <w:p>
      <w:pPr>
        <w:spacing w:after="0" w:line="219" w:lineRule="exact"/>
        <w:rPr>
          <w:sz w:val="24"/>
          <w:szCs w:val="24"/>
          <w:color w:val="auto"/>
        </w:rPr>
      </w:pPr>
    </w:p>
    <w:p>
      <w:pPr>
        <w:ind w:left="6"/>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17"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(5) Sole voting power</w:t>
      </w:r>
    </w:p>
    <w:p>
      <w:pPr>
        <w:sectPr>
          <w:pgSz w:w="12240" w:h="15840" w:orient="portrait"/>
          <w:cols w:equalWidth="0" w:num="1">
            <w:col w:w="10686"/>
          </w:cols>
          <w:pgMar w:left="114" w:top="109" w:right="1440" w:bottom="0" w:gutter="0" w:footer="0" w:header="0"/>
        </w:sectPr>
      </w:pPr>
    </w:p>
    <w:bookmarkStart w:id="1" w:name="page2"/>
    <w:bookmarkEnd w:id="1"/>
    <w:p>
      <w:pPr>
        <w:ind w:left="106"/>
        <w:spacing w:after="0" w:line="235" w:lineRule="auto"/>
        <w:rPr>
          <w:sz w:val="20"/>
          <w:szCs w:val="20"/>
          <w:color w:val="auto"/>
        </w:rPr>
      </w:pPr>
      <w:r>
        <w:rPr>
          <w:rFonts w:ascii="Courier New" w:cs="Courier New" w:eastAsia="Courier New" w:hAnsi="Courier New"/>
          <w:sz w:val="19"/>
          <w:szCs w:val="19"/>
          <w:color w:val="auto"/>
        </w:rPr>
        <w:t>4831429</w:t>
      </w:r>
    </w:p>
    <w:p>
      <w:pPr>
        <w:spacing w:after="0" w:line="213" w:lineRule="exact"/>
        <w:rPr>
          <w:sz w:val="20"/>
          <w:szCs w:val="20"/>
          <w:color w:val="auto"/>
        </w:rPr>
      </w:pPr>
    </w:p>
    <w:p>
      <w:pPr>
        <w:ind w:left="446" w:hanging="446"/>
        <w:spacing w:after="0"/>
        <w:tabs>
          <w:tab w:leader="none" w:pos="446"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Shared voting power</w:t>
      </w:r>
    </w:p>
    <w:p>
      <w:pPr>
        <w:spacing w:after="0" w:line="212" w:lineRule="exact"/>
        <w:rPr>
          <w:rFonts w:ascii="Courier New" w:cs="Courier New" w:eastAsia="Courier New" w:hAnsi="Courier New"/>
          <w:sz w:val="19"/>
          <w:szCs w:val="19"/>
          <w:color w:val="auto"/>
        </w:rPr>
      </w:pPr>
    </w:p>
    <w:p>
      <w:pPr>
        <w:ind w:left="106"/>
        <w:spacing w:after="0"/>
        <w:rPr>
          <w:rFonts w:ascii="Courier New" w:cs="Courier New" w:eastAsia="Courier New" w:hAnsi="Courier New"/>
          <w:sz w:val="19"/>
          <w:szCs w:val="19"/>
          <w:color w:val="auto"/>
        </w:rPr>
      </w:pPr>
      <w:r>
        <w:rPr>
          <w:rFonts w:ascii="Courier New" w:cs="Courier New" w:eastAsia="Courier New" w:hAnsi="Courier New"/>
          <w:sz w:val="19"/>
          <w:szCs w:val="19"/>
          <w:color w:val="auto"/>
        </w:rPr>
        <w:t>0</w:t>
      </w:r>
    </w:p>
    <w:p>
      <w:pPr>
        <w:spacing w:after="0" w:line="219" w:lineRule="exact"/>
        <w:rPr>
          <w:rFonts w:ascii="Courier New" w:cs="Courier New" w:eastAsia="Courier New" w:hAnsi="Courier New"/>
          <w:sz w:val="19"/>
          <w:szCs w:val="19"/>
          <w:color w:val="auto"/>
        </w:rPr>
      </w:pPr>
    </w:p>
    <w:p>
      <w:pPr>
        <w:ind w:left="106" w:right="7800" w:hanging="106"/>
        <w:spacing w:after="0" w:line="469" w:lineRule="auto"/>
        <w:tabs>
          <w:tab w:leader="none" w:pos="440"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Sole dispositive power 4904881</w:t>
      </w:r>
    </w:p>
    <w:p>
      <w:pPr>
        <w:spacing w:after="0" w:line="7" w:lineRule="exact"/>
        <w:rPr>
          <w:rFonts w:ascii="Courier New" w:cs="Courier New" w:eastAsia="Courier New" w:hAnsi="Courier New"/>
          <w:sz w:val="19"/>
          <w:szCs w:val="19"/>
          <w:color w:val="auto"/>
        </w:rPr>
      </w:pPr>
    </w:p>
    <w:p>
      <w:pPr>
        <w:ind w:left="446" w:hanging="446"/>
        <w:spacing w:after="0"/>
        <w:tabs>
          <w:tab w:leader="none" w:pos="446"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Shared dispositive power</w:t>
      </w:r>
    </w:p>
    <w:p>
      <w:pPr>
        <w:spacing w:after="0" w:line="212" w:lineRule="exact"/>
        <w:rPr>
          <w:rFonts w:ascii="Courier New" w:cs="Courier New" w:eastAsia="Courier New" w:hAnsi="Courier New"/>
          <w:sz w:val="19"/>
          <w:szCs w:val="19"/>
          <w:color w:val="auto"/>
        </w:rPr>
      </w:pPr>
    </w:p>
    <w:p>
      <w:pPr>
        <w:ind w:left="106"/>
        <w:spacing w:after="0"/>
        <w:rPr>
          <w:rFonts w:ascii="Courier New" w:cs="Courier New" w:eastAsia="Courier New" w:hAnsi="Courier New"/>
          <w:sz w:val="19"/>
          <w:szCs w:val="19"/>
          <w:color w:val="auto"/>
        </w:rPr>
      </w:pPr>
      <w:r>
        <w:rPr>
          <w:rFonts w:ascii="Courier New" w:cs="Courier New" w:eastAsia="Courier New" w:hAnsi="Courier New"/>
          <w:sz w:val="19"/>
          <w:szCs w:val="19"/>
          <w:color w:val="auto"/>
        </w:rPr>
        <w:t>0</w:t>
      </w:r>
    </w:p>
    <w:p>
      <w:pPr>
        <w:spacing w:after="0" w:line="219" w:lineRule="exact"/>
        <w:rPr>
          <w:rFonts w:ascii="Courier New" w:cs="Courier New" w:eastAsia="Courier New" w:hAnsi="Courier New"/>
          <w:sz w:val="19"/>
          <w:szCs w:val="19"/>
          <w:color w:val="auto"/>
        </w:rPr>
      </w:pPr>
    </w:p>
    <w:p>
      <w:pPr>
        <w:ind w:left="106" w:right="3560" w:hanging="106"/>
        <w:spacing w:after="0" w:line="469" w:lineRule="auto"/>
        <w:tabs>
          <w:tab w:leader="none" w:pos="440"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Aggregate amount beneficially owned by each reporting person 4904881</w:t>
      </w:r>
    </w:p>
    <w:p>
      <w:pPr>
        <w:spacing w:after="0" w:line="7" w:lineRule="exact"/>
        <w:rPr>
          <w:rFonts w:ascii="Courier New" w:cs="Courier New" w:eastAsia="Courier New" w:hAnsi="Courier New"/>
          <w:sz w:val="19"/>
          <w:szCs w:val="19"/>
          <w:color w:val="auto"/>
        </w:rPr>
      </w:pPr>
    </w:p>
    <w:p>
      <w:pPr>
        <w:ind w:left="566" w:hanging="566"/>
        <w:spacing w:after="0"/>
        <w:tabs>
          <w:tab w:leader="none" w:pos="566"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Check if the aggregate amount in Row (9) excludes certain shares</w:t>
      </w:r>
    </w:p>
    <w:p>
      <w:pPr>
        <w:spacing w:after="0" w:line="212" w:lineRule="exact"/>
        <w:rPr>
          <w:rFonts w:ascii="Courier New" w:cs="Courier New" w:eastAsia="Courier New" w:hAnsi="Courier New"/>
          <w:sz w:val="19"/>
          <w:szCs w:val="19"/>
          <w:color w:val="auto"/>
        </w:rPr>
      </w:pPr>
    </w:p>
    <w:p>
      <w:pPr>
        <w:ind w:left="566" w:hanging="566"/>
        <w:spacing w:after="0"/>
        <w:tabs>
          <w:tab w:leader="none" w:pos="566"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Percent of class represented by amount in Row 9</w:t>
      </w:r>
    </w:p>
    <w:p>
      <w:pPr>
        <w:spacing w:after="0" w:line="213" w:lineRule="exact"/>
        <w:rPr>
          <w:sz w:val="20"/>
          <w:szCs w:val="20"/>
          <w:color w:val="auto"/>
        </w:rPr>
      </w:pPr>
    </w:p>
    <w:p>
      <w:pPr>
        <w:ind w:left="106"/>
        <w:spacing w:after="0"/>
        <w:rPr>
          <w:sz w:val="20"/>
          <w:szCs w:val="20"/>
          <w:color w:val="auto"/>
        </w:rPr>
      </w:pPr>
      <w:r>
        <w:rPr>
          <w:rFonts w:ascii="Courier New" w:cs="Courier New" w:eastAsia="Courier New" w:hAnsi="Courier New"/>
          <w:sz w:val="19"/>
          <w:szCs w:val="19"/>
          <w:color w:val="auto"/>
        </w:rPr>
        <w:t>14.3%</w:t>
      </w:r>
    </w:p>
    <w:p>
      <w:pPr>
        <w:spacing w:after="0" w:line="213" w:lineRule="exact"/>
        <w:rPr>
          <w:sz w:val="20"/>
          <w:szCs w:val="20"/>
          <w:color w:val="auto"/>
        </w:rPr>
      </w:pPr>
    </w:p>
    <w:p>
      <w:pPr>
        <w:ind w:left="566" w:hanging="566"/>
        <w:spacing w:after="0"/>
        <w:tabs>
          <w:tab w:leader="none" w:pos="566" w:val="left"/>
        </w:tabs>
        <w:numPr>
          <w:ilvl w:val="0"/>
          <w:numId w:val="4"/>
        </w:numPr>
        <w:rPr>
          <w:rFonts w:ascii="Courier New" w:cs="Courier New" w:eastAsia="Courier New" w:hAnsi="Courier New"/>
          <w:sz w:val="19"/>
          <w:szCs w:val="19"/>
          <w:color w:val="auto"/>
        </w:rPr>
      </w:pPr>
      <w:r>
        <w:rPr>
          <w:rFonts w:ascii="Courier New" w:cs="Courier New" w:eastAsia="Courier New" w:hAnsi="Courier New"/>
          <w:sz w:val="19"/>
          <w:szCs w:val="19"/>
          <w:color w:val="auto"/>
        </w:rPr>
        <w:t>Type of reporting person</w:t>
      </w:r>
    </w:p>
    <w:p>
      <w:pPr>
        <w:spacing w:after="0" w:line="212" w:lineRule="exact"/>
        <w:rPr>
          <w:rFonts w:ascii="Courier New" w:cs="Courier New" w:eastAsia="Courier New" w:hAnsi="Courier New"/>
          <w:sz w:val="19"/>
          <w:szCs w:val="19"/>
          <w:color w:val="auto"/>
        </w:rPr>
      </w:pPr>
    </w:p>
    <w:p>
      <w:pPr>
        <w:ind w:left="6"/>
        <w:spacing w:after="0"/>
        <w:rPr>
          <w:rFonts w:ascii="Courier New" w:cs="Courier New" w:eastAsia="Courier New" w:hAnsi="Courier New"/>
          <w:sz w:val="19"/>
          <w:szCs w:val="19"/>
          <w:color w:val="auto"/>
        </w:rPr>
      </w:pPr>
      <w:r>
        <w:rPr>
          <w:rFonts w:ascii="Courier New" w:cs="Courier New" w:eastAsia="Courier New" w:hAnsi="Courier New"/>
          <w:sz w:val="19"/>
          <w:szCs w:val="19"/>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1.</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1(a) Name of issuer:</w:t>
      </w:r>
    </w:p>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8"/>
          <w:szCs w:val="18"/>
          <w:color w:val="auto"/>
        </w:rPr>
        <w:t>-----------------------------------------------------------------------</w:t>
      </w:r>
    </w:p>
    <w:p>
      <w:pPr>
        <w:spacing w:after="0" w:line="217"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ExlService Holdings, Inc.</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1(b) Address of issuer's principal executive offices:</w:t>
      </w:r>
    </w:p>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8"/>
          <w:szCs w:val="18"/>
          <w:color w:val="auto"/>
        </w:rPr>
        <w:t>-----------------------------------------------------------------------</w:t>
      </w:r>
    </w:p>
    <w:p>
      <w:pPr>
        <w:spacing w:after="0" w:line="217"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280 PARK AVENUE 38TH FLOOR</w:t>
      </w:r>
    </w:p>
    <w:p>
      <w:pPr>
        <w:ind w:left="6"/>
        <w:spacing w:after="0" w:line="238" w:lineRule="auto"/>
        <w:rPr>
          <w:sz w:val="20"/>
          <w:szCs w:val="20"/>
          <w:color w:val="auto"/>
        </w:rPr>
      </w:pPr>
      <w:r>
        <w:rPr>
          <w:rFonts w:ascii="Courier New" w:cs="Courier New" w:eastAsia="Courier New" w:hAnsi="Courier New"/>
          <w:sz w:val="19"/>
          <w:szCs w:val="19"/>
          <w:color w:val="auto"/>
        </w:rPr>
        <w:t>NEW YORK X1 10017</w:t>
      </w:r>
    </w:p>
    <w:p>
      <w:pPr>
        <w:spacing w:after="0" w:line="200" w:lineRule="exact"/>
        <w:rPr>
          <w:sz w:val="20"/>
          <w:szCs w:val="20"/>
          <w:color w:val="auto"/>
        </w:rPr>
      </w:pPr>
    </w:p>
    <w:p>
      <w:pPr>
        <w:spacing w:after="0" w:line="227"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2.</w:t>
      </w:r>
    </w:p>
    <w:p>
      <w:pPr>
        <w:spacing w:after="0" w:line="200" w:lineRule="exact"/>
        <w:rPr>
          <w:sz w:val="20"/>
          <w:szCs w:val="20"/>
          <w:color w:val="auto"/>
        </w:rPr>
      </w:pPr>
    </w:p>
    <w:p>
      <w:pPr>
        <w:spacing w:after="0" w:line="227"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2(a) Name of person filing:</w:t>
      </w:r>
    </w:p>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BlackRock, Inc.</w:t>
      </w:r>
    </w:p>
    <w:p>
      <w:pPr>
        <w:spacing w:after="0" w:line="200" w:lineRule="exact"/>
        <w:rPr>
          <w:sz w:val="20"/>
          <w:szCs w:val="20"/>
          <w:color w:val="auto"/>
        </w:rPr>
      </w:pPr>
    </w:p>
    <w:p>
      <w:pPr>
        <w:spacing w:after="0" w:line="227"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2(b) Address or principal business office or, if none, residence:</w:t>
      </w:r>
    </w:p>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BlackRock, Inc.</w:t>
      </w:r>
    </w:p>
    <w:p>
      <w:pPr>
        <w:ind w:left="6"/>
        <w:spacing w:after="0" w:line="238" w:lineRule="auto"/>
        <w:rPr>
          <w:sz w:val="20"/>
          <w:szCs w:val="20"/>
          <w:color w:val="auto"/>
        </w:rPr>
      </w:pPr>
      <w:r>
        <w:rPr>
          <w:rFonts w:ascii="Courier New" w:cs="Courier New" w:eastAsia="Courier New" w:hAnsi="Courier New"/>
          <w:sz w:val="19"/>
          <w:szCs w:val="19"/>
          <w:color w:val="auto"/>
        </w:rPr>
        <w:t>55 East 52nd Street</w:t>
      </w:r>
    </w:p>
    <w:p>
      <w:pPr>
        <w:ind w:left="6"/>
        <w:spacing w:after="0"/>
        <w:rPr>
          <w:sz w:val="20"/>
          <w:szCs w:val="20"/>
          <w:color w:val="auto"/>
        </w:rPr>
      </w:pPr>
      <w:r>
        <w:rPr>
          <w:rFonts w:ascii="Courier New" w:cs="Courier New" w:eastAsia="Courier New" w:hAnsi="Courier New"/>
          <w:sz w:val="19"/>
          <w:szCs w:val="19"/>
          <w:color w:val="auto"/>
        </w:rPr>
        <w:t>New York, NY 10055</w:t>
      </w:r>
    </w:p>
    <w:p>
      <w:pPr>
        <w:spacing w:after="0" w:line="200" w:lineRule="exact"/>
        <w:rPr>
          <w:sz w:val="20"/>
          <w:szCs w:val="20"/>
          <w:color w:val="auto"/>
        </w:rPr>
      </w:pPr>
    </w:p>
    <w:p>
      <w:pPr>
        <w:spacing w:after="0" w:line="226"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2(c) Citizenship:</w:t>
      </w:r>
    </w:p>
    <w:p>
      <w:pPr>
        <w:ind w:left="6"/>
        <w:spacing w:after="0" w:line="238" w:lineRule="auto"/>
        <w:rPr>
          <w:sz w:val="20"/>
          <w:szCs w:val="20"/>
          <w:color w:val="auto"/>
        </w:rPr>
      </w:pPr>
      <w:r>
        <w:rPr>
          <w:rFonts w:ascii="Courier New" w:cs="Courier New" w:eastAsia="Courier New" w:hAnsi="Courier New"/>
          <w:sz w:val="19"/>
          <w:szCs w:val="19"/>
          <w:color w:val="auto"/>
        </w:rPr>
        <w:t>--------------------------------------------------------------------</w:t>
      </w:r>
    </w:p>
    <w:p>
      <w:pPr>
        <w:ind w:left="106"/>
        <w:spacing w:after="0"/>
        <w:rPr>
          <w:sz w:val="20"/>
          <w:szCs w:val="20"/>
          <w:color w:val="auto"/>
        </w:rPr>
      </w:pPr>
      <w:r>
        <w:rPr>
          <w:rFonts w:ascii="Courier New" w:cs="Courier New" w:eastAsia="Courier New" w:hAnsi="Courier New"/>
          <w:sz w:val="19"/>
          <w:szCs w:val="19"/>
          <w:color w:val="auto"/>
        </w:rPr>
        <w:t>See Item 4 of Cover Page</w:t>
      </w:r>
    </w:p>
    <w:p>
      <w:pPr>
        <w:spacing w:after="0" w:line="200" w:lineRule="exact"/>
        <w:rPr>
          <w:sz w:val="20"/>
          <w:szCs w:val="20"/>
          <w:color w:val="auto"/>
        </w:rPr>
      </w:pPr>
    </w:p>
    <w:p>
      <w:pPr>
        <w:spacing w:after="0" w:line="226"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2(d) Title of class of securities:</w:t>
      </w:r>
    </w:p>
    <w:p>
      <w:pPr>
        <w:ind w:left="6"/>
        <w:spacing w:after="0" w:line="238" w:lineRule="auto"/>
        <w:rPr>
          <w:sz w:val="20"/>
          <w:szCs w:val="20"/>
          <w:color w:val="auto"/>
        </w:rPr>
      </w:pPr>
      <w:r>
        <w:rPr>
          <w:rFonts w:ascii="Courier New" w:cs="Courier New" w:eastAsia="Courier New" w:hAnsi="Courier New"/>
          <w:sz w:val="19"/>
          <w:szCs w:val="19"/>
          <w:color w:val="auto"/>
        </w:rPr>
        <w:t>-------------------------------------------------------------------</w:t>
      </w:r>
    </w:p>
    <w:p>
      <w:pPr>
        <w:spacing w:after="0" w:line="213" w:lineRule="exact"/>
        <w:rPr>
          <w:sz w:val="20"/>
          <w:szCs w:val="20"/>
          <w:color w:val="auto"/>
        </w:rPr>
      </w:pPr>
    </w:p>
    <w:p>
      <w:pPr>
        <w:ind w:left="106"/>
        <w:spacing w:after="0"/>
        <w:rPr>
          <w:sz w:val="20"/>
          <w:szCs w:val="20"/>
          <w:color w:val="auto"/>
        </w:rPr>
      </w:pPr>
      <w:r>
        <w:rPr>
          <w:rFonts w:ascii="Courier New" w:cs="Courier New" w:eastAsia="Courier New" w:hAnsi="Courier New"/>
          <w:sz w:val="19"/>
          <w:szCs w:val="19"/>
          <w:color w:val="auto"/>
        </w:rPr>
        <w:t>Common Stock</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2(e) CUSIP No.:</w:t>
      </w:r>
    </w:p>
    <w:p>
      <w:pPr>
        <w:ind w:left="6"/>
        <w:spacing w:after="0" w:line="238" w:lineRule="auto"/>
        <w:rPr>
          <w:sz w:val="20"/>
          <w:szCs w:val="20"/>
          <w:color w:val="auto"/>
        </w:rPr>
      </w:pPr>
      <w:r>
        <w:rPr>
          <w:rFonts w:ascii="Courier New" w:cs="Courier New" w:eastAsia="Courier New" w:hAnsi="Courier New"/>
          <w:sz w:val="19"/>
          <w:szCs w:val="19"/>
          <w:color w:val="auto"/>
        </w:rPr>
        <w:t>See Cover Page</w:t>
      </w:r>
    </w:p>
    <w:p>
      <w:pPr>
        <w:sectPr>
          <w:pgSz w:w="12240" w:h="15840" w:orient="portrait"/>
          <w:cols w:equalWidth="0" w:num="1">
            <w:col w:w="10686"/>
          </w:cols>
          <w:pgMar w:left="114" w:top="0" w:right="1440" w:bottom="0" w:gutter="0" w:footer="0" w:header="0"/>
        </w:sectPr>
      </w:pPr>
    </w:p>
    <w:bookmarkStart w:id="2" w:name="page3"/>
    <w:bookmarkEnd w:id="2"/>
    <w:p>
      <w:pPr>
        <w:ind w:left="6"/>
        <w:spacing w:after="0"/>
        <w:rPr>
          <w:sz w:val="20"/>
          <w:szCs w:val="20"/>
          <w:color w:val="auto"/>
        </w:rPr>
      </w:pPr>
      <w:r>
        <w:rPr>
          <w:rFonts w:ascii="Courier New" w:cs="Courier New" w:eastAsia="Courier New" w:hAnsi="Courier New"/>
          <w:sz w:val="19"/>
          <w:szCs w:val="19"/>
          <w:color w:val="auto"/>
        </w:rPr>
        <w:t>Item 3.</w:t>
      </w:r>
    </w:p>
    <w:p>
      <w:pPr>
        <w:spacing w:after="0" w:line="219" w:lineRule="exact"/>
        <w:rPr>
          <w:sz w:val="20"/>
          <w:szCs w:val="20"/>
          <w:color w:val="auto"/>
        </w:rPr>
      </w:pPr>
    </w:p>
    <w:p>
      <w:pPr>
        <w:ind w:left="6" w:right="2460"/>
        <w:spacing w:after="0" w:line="235" w:lineRule="auto"/>
        <w:rPr>
          <w:sz w:val="20"/>
          <w:szCs w:val="20"/>
          <w:color w:val="auto"/>
        </w:rPr>
      </w:pPr>
      <w:r>
        <w:rPr>
          <w:rFonts w:ascii="Courier New" w:cs="Courier New" w:eastAsia="Courier New" w:hAnsi="Courier New"/>
          <w:sz w:val="19"/>
          <w:szCs w:val="19"/>
          <w:color w:val="auto"/>
        </w:rPr>
        <w:t>If this statement is filed pursuant to Rules 13d-1(b), or 13d-2(b) or (c), check whether the person filing is a:</w:t>
      </w:r>
    </w:p>
    <w:p>
      <w:pPr>
        <w:ind w:left="226" w:hanging="226"/>
        <w:spacing w:after="0"/>
        <w:tabs>
          <w:tab w:leader="none" w:pos="226"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Broker or dealer registered under Section 15 of the Act;</w:t>
      </w:r>
    </w:p>
    <w:p>
      <w:pPr>
        <w:ind w:left="226" w:hanging="226"/>
        <w:spacing w:after="0" w:line="238" w:lineRule="auto"/>
        <w:tabs>
          <w:tab w:leader="none" w:pos="226"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Bank as defined in Section 3(a)(6) of the Act;</w:t>
      </w:r>
    </w:p>
    <w:p>
      <w:pPr>
        <w:ind w:left="226" w:hanging="226"/>
        <w:spacing w:after="0" w:line="238" w:lineRule="auto"/>
        <w:tabs>
          <w:tab w:leader="none" w:pos="226"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Insurance company as defined in Section 3(a)(19) of the Act;</w:t>
      </w:r>
    </w:p>
    <w:p>
      <w:pPr>
        <w:spacing w:after="0" w:line="5" w:lineRule="exact"/>
        <w:rPr>
          <w:rFonts w:ascii="Courier New" w:cs="Courier New" w:eastAsia="Courier New" w:hAnsi="Courier New"/>
          <w:sz w:val="19"/>
          <w:szCs w:val="19"/>
          <w:color w:val="auto"/>
        </w:rPr>
      </w:pPr>
    </w:p>
    <w:p>
      <w:pPr>
        <w:ind w:left="6" w:right="4460" w:hanging="6"/>
        <w:spacing w:after="0" w:line="235" w:lineRule="auto"/>
        <w:tabs>
          <w:tab w:leader="none" w:pos="229"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Investment company registered under Section 8 of the Investment Company Act of 1940;</w:t>
      </w:r>
    </w:p>
    <w:p>
      <w:pPr>
        <w:ind w:left="226" w:hanging="226"/>
        <w:spacing w:after="0" w:line="238" w:lineRule="auto"/>
        <w:tabs>
          <w:tab w:leader="none" w:pos="226"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An investment adviser in accordance with Rule 13d-1(b)(1)(ii)(E);</w:t>
      </w:r>
    </w:p>
    <w:p>
      <w:pPr>
        <w:spacing w:after="0" w:line="5" w:lineRule="exact"/>
        <w:rPr>
          <w:rFonts w:ascii="Courier New" w:cs="Courier New" w:eastAsia="Courier New" w:hAnsi="Courier New"/>
          <w:sz w:val="19"/>
          <w:szCs w:val="19"/>
          <w:color w:val="auto"/>
        </w:rPr>
      </w:pPr>
    </w:p>
    <w:p>
      <w:pPr>
        <w:ind w:left="1326" w:right="3460" w:hanging="1326"/>
        <w:spacing w:after="0" w:line="235" w:lineRule="auto"/>
        <w:tabs>
          <w:tab w:leader="none" w:pos="214"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An employee benefit plan or endowment fund in accordance with Rule 13d-1(b)(1)(ii)(F);</w:t>
      </w:r>
    </w:p>
    <w:p>
      <w:pPr>
        <w:spacing w:after="0" w:line="6" w:lineRule="exact"/>
        <w:rPr>
          <w:rFonts w:ascii="Courier New" w:cs="Courier New" w:eastAsia="Courier New" w:hAnsi="Courier New"/>
          <w:sz w:val="19"/>
          <w:szCs w:val="19"/>
          <w:color w:val="auto"/>
        </w:rPr>
      </w:pPr>
    </w:p>
    <w:p>
      <w:pPr>
        <w:ind w:left="1326" w:right="3460" w:hanging="1335"/>
        <w:spacing w:after="0" w:line="235"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[X] A parent holding company or control person in accordance with Rule 13d-1(b)(1)(ii)(G);</w:t>
      </w:r>
    </w:p>
    <w:p>
      <w:pPr>
        <w:spacing w:after="0" w:line="6" w:lineRule="exact"/>
        <w:rPr>
          <w:rFonts w:ascii="Courier New" w:cs="Courier New" w:eastAsia="Courier New" w:hAnsi="Courier New"/>
          <w:sz w:val="19"/>
          <w:szCs w:val="19"/>
          <w:color w:val="auto"/>
        </w:rPr>
      </w:pPr>
    </w:p>
    <w:p>
      <w:pPr>
        <w:ind w:left="1326" w:right="3120" w:hanging="1326"/>
        <w:spacing w:after="0" w:line="235" w:lineRule="auto"/>
        <w:tabs>
          <w:tab w:leader="none" w:pos="214"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A savings associations as defined in Section 3(b) of the Federal Deposit Insurance Act (12 U.S.C. 1813);</w:t>
      </w:r>
    </w:p>
    <w:p>
      <w:pPr>
        <w:ind w:left="226" w:hanging="226"/>
        <w:spacing w:after="0" w:line="238" w:lineRule="auto"/>
        <w:tabs>
          <w:tab w:leader="none" w:pos="226"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A church plan that is excluded from the definition of an</w:t>
      </w:r>
    </w:p>
    <w:p>
      <w:pPr>
        <w:spacing w:after="0" w:line="5" w:lineRule="exact"/>
        <w:rPr>
          <w:rFonts w:ascii="Courier New" w:cs="Courier New" w:eastAsia="Courier New" w:hAnsi="Courier New"/>
          <w:sz w:val="19"/>
          <w:szCs w:val="19"/>
          <w:color w:val="auto"/>
        </w:rPr>
      </w:pPr>
    </w:p>
    <w:p>
      <w:pPr>
        <w:ind w:left="1326" w:right="1900"/>
        <w:spacing w:after="0" w:line="235"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investment company under section 3(c)(14) of the Investment Company Act of 1940;</w:t>
      </w:r>
    </w:p>
    <w:p>
      <w:pPr>
        <w:spacing w:after="0" w:line="6" w:lineRule="exact"/>
        <w:rPr>
          <w:rFonts w:ascii="Courier New" w:cs="Courier New" w:eastAsia="Courier New" w:hAnsi="Courier New"/>
          <w:sz w:val="19"/>
          <w:szCs w:val="19"/>
          <w:color w:val="auto"/>
        </w:rPr>
      </w:pPr>
    </w:p>
    <w:p>
      <w:pPr>
        <w:ind w:left="1326" w:right="5680" w:hanging="1326"/>
        <w:spacing w:after="0" w:line="251" w:lineRule="auto"/>
        <w:tabs>
          <w:tab w:leader="none" w:pos="21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non-U.S. institution in accordance with Rule 240.13d-1(b)(1)(ii)(J);</w:t>
      </w:r>
    </w:p>
    <w:p>
      <w:pPr>
        <w:spacing w:after="0" w:line="1" w:lineRule="exact"/>
        <w:rPr>
          <w:rFonts w:ascii="Courier New" w:cs="Courier New" w:eastAsia="Courier New" w:hAnsi="Courier New"/>
          <w:sz w:val="18"/>
          <w:szCs w:val="18"/>
          <w:color w:val="auto"/>
        </w:rPr>
      </w:pPr>
    </w:p>
    <w:p>
      <w:pPr>
        <w:ind w:left="1326" w:right="3120" w:hanging="1326"/>
        <w:spacing w:after="0" w:line="235" w:lineRule="auto"/>
        <w:tabs>
          <w:tab w:leader="none" w:pos="214"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Group, in accordance with Rule 240.13d-1(b)(1)(ii)(K). If filing as a non-U.S. institution in accordance with</w:t>
      </w:r>
    </w:p>
    <w:p>
      <w:pPr>
        <w:spacing w:after="0" w:line="6" w:lineRule="exact"/>
        <w:rPr>
          <w:rFonts w:ascii="Courier New" w:cs="Courier New" w:eastAsia="Courier New" w:hAnsi="Courier New"/>
          <w:sz w:val="19"/>
          <w:szCs w:val="19"/>
          <w:color w:val="auto"/>
        </w:rPr>
      </w:pPr>
    </w:p>
    <w:p>
      <w:pPr>
        <w:ind w:left="1326" w:right="3240"/>
        <w:spacing w:after="0" w:line="235"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Rule 240.13d-1(b)(1)(ii)(J), please specify the type of institution:</w:t>
      </w:r>
    </w:p>
    <w:p>
      <w:pPr>
        <w:spacing w:after="0" w:line="200" w:lineRule="exact"/>
        <w:rPr>
          <w:sz w:val="20"/>
          <w:szCs w:val="20"/>
          <w:color w:val="auto"/>
        </w:rPr>
      </w:pPr>
    </w:p>
    <w:p>
      <w:pPr>
        <w:spacing w:after="0" w:line="227"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4. Ownership</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Provide the following information regarding the aggregate number</w:t>
      </w:r>
    </w:p>
    <w:p>
      <w:pPr>
        <w:ind w:left="6"/>
        <w:spacing w:after="0" w:line="238" w:lineRule="auto"/>
        <w:rPr>
          <w:sz w:val="20"/>
          <w:szCs w:val="20"/>
          <w:color w:val="auto"/>
        </w:rPr>
      </w:pPr>
      <w:r>
        <w:rPr>
          <w:rFonts w:ascii="Courier New" w:cs="Courier New" w:eastAsia="Courier New" w:hAnsi="Courier New"/>
          <w:sz w:val="19"/>
          <w:szCs w:val="19"/>
          <w:color w:val="auto"/>
        </w:rPr>
        <w:t>and percentage of the class of securities of the issuer identified in Item 1.</w:t>
      </w:r>
    </w:p>
    <w:p>
      <w:pPr>
        <w:spacing w:after="0" w:line="200" w:lineRule="exact"/>
        <w:rPr>
          <w:sz w:val="20"/>
          <w:szCs w:val="20"/>
          <w:color w:val="auto"/>
        </w:rPr>
      </w:pPr>
    </w:p>
    <w:p>
      <w:pPr>
        <w:spacing w:after="0" w:line="227"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Amount beneficially owned:</w:t>
      </w:r>
    </w:p>
    <w:p>
      <w:pPr>
        <w:spacing w:after="0" w:line="213" w:lineRule="exact"/>
        <w:rPr>
          <w:sz w:val="20"/>
          <w:szCs w:val="20"/>
          <w:color w:val="auto"/>
        </w:rPr>
      </w:pPr>
    </w:p>
    <w:p>
      <w:pPr>
        <w:ind w:left="226"/>
        <w:spacing w:after="0"/>
        <w:rPr>
          <w:sz w:val="20"/>
          <w:szCs w:val="20"/>
          <w:color w:val="auto"/>
        </w:rPr>
      </w:pPr>
      <w:r>
        <w:rPr>
          <w:rFonts w:ascii="Courier New" w:cs="Courier New" w:eastAsia="Courier New" w:hAnsi="Courier New"/>
          <w:sz w:val="19"/>
          <w:szCs w:val="19"/>
          <w:color w:val="auto"/>
        </w:rPr>
        <w:t>4904881</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Percent of class</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14.3%</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Number of shares as to which such person has:</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Sole power to vote or to direct the vote</w:t>
      </w:r>
    </w:p>
    <w:p>
      <w:pPr>
        <w:spacing w:after="0" w:line="213" w:lineRule="exact"/>
        <w:rPr>
          <w:sz w:val="20"/>
          <w:szCs w:val="20"/>
          <w:color w:val="auto"/>
        </w:rPr>
      </w:pPr>
    </w:p>
    <w:p>
      <w:pPr>
        <w:ind w:left="226"/>
        <w:spacing w:after="0"/>
        <w:rPr>
          <w:sz w:val="20"/>
          <w:szCs w:val="20"/>
          <w:color w:val="auto"/>
        </w:rPr>
      </w:pPr>
      <w:r>
        <w:rPr>
          <w:rFonts w:ascii="Courier New" w:cs="Courier New" w:eastAsia="Courier New" w:hAnsi="Courier New"/>
          <w:sz w:val="19"/>
          <w:szCs w:val="19"/>
          <w:color w:val="auto"/>
        </w:rPr>
        <w:t>4831429</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Shared power to vote or to direct the vote</w:t>
      </w:r>
    </w:p>
    <w:p>
      <w:pPr>
        <w:spacing w:after="0" w:line="213" w:lineRule="exact"/>
        <w:rPr>
          <w:sz w:val="20"/>
          <w:szCs w:val="20"/>
          <w:color w:val="auto"/>
        </w:rPr>
      </w:pPr>
    </w:p>
    <w:p>
      <w:pPr>
        <w:ind w:left="226"/>
        <w:spacing w:after="0"/>
        <w:rPr>
          <w:sz w:val="20"/>
          <w:szCs w:val="20"/>
          <w:color w:val="auto"/>
        </w:rPr>
      </w:pPr>
      <w:r>
        <w:rPr>
          <w:rFonts w:ascii="Courier New" w:cs="Courier New" w:eastAsia="Courier New" w:hAnsi="Courier New"/>
          <w:sz w:val="19"/>
          <w:szCs w:val="19"/>
          <w:color w:val="auto"/>
        </w:rPr>
        <w:t>0</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Sole power to dispose or to direct the disposition of</w:t>
      </w:r>
    </w:p>
    <w:p>
      <w:pPr>
        <w:spacing w:after="0" w:line="213" w:lineRule="exact"/>
        <w:rPr>
          <w:sz w:val="20"/>
          <w:szCs w:val="20"/>
          <w:color w:val="auto"/>
        </w:rPr>
      </w:pPr>
    </w:p>
    <w:p>
      <w:pPr>
        <w:ind w:left="226"/>
        <w:spacing w:after="0"/>
        <w:rPr>
          <w:sz w:val="20"/>
          <w:szCs w:val="20"/>
          <w:color w:val="auto"/>
        </w:rPr>
      </w:pPr>
      <w:r>
        <w:rPr>
          <w:rFonts w:ascii="Courier New" w:cs="Courier New" w:eastAsia="Courier New" w:hAnsi="Courier New"/>
          <w:sz w:val="19"/>
          <w:szCs w:val="19"/>
          <w:color w:val="auto"/>
        </w:rPr>
        <w:t>4904881</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Shared power to dispose or to direct the disposition of</w:t>
      </w:r>
    </w:p>
    <w:p>
      <w:pPr>
        <w:spacing w:after="0" w:line="213" w:lineRule="exact"/>
        <w:rPr>
          <w:sz w:val="20"/>
          <w:szCs w:val="20"/>
          <w:color w:val="auto"/>
        </w:rPr>
      </w:pPr>
    </w:p>
    <w:p>
      <w:pPr>
        <w:ind w:left="226"/>
        <w:spacing w:after="0"/>
        <w:rPr>
          <w:sz w:val="20"/>
          <w:szCs w:val="20"/>
          <w:color w:val="auto"/>
        </w:rPr>
      </w:pPr>
      <w:r>
        <w:rPr>
          <w:rFonts w:ascii="Courier New" w:cs="Courier New" w:eastAsia="Courier New" w:hAnsi="Courier New"/>
          <w:sz w:val="19"/>
          <w:szCs w:val="19"/>
          <w:color w:val="auto"/>
        </w:rPr>
        <w:t>0</w:t>
      </w:r>
    </w:p>
    <w:p>
      <w:pPr>
        <w:sectPr>
          <w:pgSz w:w="12240" w:h="15840" w:orient="portrait"/>
          <w:cols w:equalWidth="0" w:num="1">
            <w:col w:w="10686"/>
          </w:cols>
          <w:pgMar w:left="114" w:top="1279" w:right="1440" w:bottom="1440" w:gutter="0" w:footer="0" w:header="0"/>
        </w:sectPr>
      </w:pPr>
    </w:p>
    <w:bookmarkStart w:id="3" w:name="page4"/>
    <w:bookmarkEnd w:id="3"/>
    <w:p>
      <w:pPr>
        <w:spacing w:after="0" w:line="235" w:lineRule="auto"/>
        <w:rPr>
          <w:sz w:val="20"/>
          <w:szCs w:val="20"/>
          <w:color w:val="auto"/>
        </w:rPr>
      </w:pPr>
      <w:r>
        <w:rPr>
          <w:rFonts w:ascii="Courier New" w:cs="Courier New" w:eastAsia="Courier New" w:hAnsi="Courier New"/>
          <w:sz w:val="19"/>
          <w:szCs w:val="19"/>
          <w:color w:val="auto"/>
        </w:rPr>
        <w:t>Item 5.</w:t>
      </w:r>
    </w:p>
    <w:p>
      <w:pPr>
        <w:spacing w:after="0" w:line="220" w:lineRule="exact"/>
        <w:rPr>
          <w:sz w:val="20"/>
          <w:szCs w:val="20"/>
          <w:color w:val="auto"/>
        </w:rPr>
      </w:pPr>
    </w:p>
    <w:p>
      <w:pPr>
        <w:ind w:right="2680"/>
        <w:spacing w:after="0" w:line="237" w:lineRule="auto"/>
        <w:rPr>
          <w:sz w:val="20"/>
          <w:szCs w:val="20"/>
          <w:color w:val="auto"/>
        </w:rPr>
      </w:pPr>
      <w:r>
        <w:rPr>
          <w:rFonts w:ascii="Courier New" w:cs="Courier New" w:eastAsia="Courier New" w:hAnsi="Courier New"/>
          <w:sz w:val="19"/>
          <w:szCs w:val="19"/>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Item 6. Ownership of More than 5 Percent on Behalf of Another Person</w:t>
      </w:r>
    </w:p>
    <w:p>
      <w:pPr>
        <w:spacing w:after="0" w:line="219" w:lineRule="exact"/>
        <w:rPr>
          <w:sz w:val="20"/>
          <w:szCs w:val="20"/>
          <w:color w:val="auto"/>
        </w:rPr>
      </w:pPr>
    </w:p>
    <w:p>
      <w:pPr>
        <w:ind w:left="220" w:right="2240"/>
        <w:spacing w:after="0" w:line="237" w:lineRule="auto"/>
        <w:rPr>
          <w:sz w:val="20"/>
          <w:szCs w:val="20"/>
          <w:color w:val="auto"/>
        </w:rPr>
      </w:pPr>
      <w:r>
        <w:rPr>
          <w:rFonts w:ascii="Courier New" w:cs="Courier New" w:eastAsia="Courier New" w:hAnsi="Courier New"/>
          <w:sz w:val="19"/>
          <w:szCs w:val="19"/>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stock of ExlService Holdings, Inc.</w:t>
      </w:r>
    </w:p>
    <w:p>
      <w:pPr>
        <w:ind w:left="440"/>
        <w:spacing w:after="0" w:line="238" w:lineRule="auto"/>
        <w:rPr>
          <w:sz w:val="20"/>
          <w:szCs w:val="20"/>
          <w:color w:val="auto"/>
        </w:rPr>
      </w:pPr>
      <w:r>
        <w:rPr>
          <w:rFonts w:ascii="Courier New" w:cs="Courier New" w:eastAsia="Courier New" w:hAnsi="Courier New"/>
          <w:sz w:val="19"/>
          <w:szCs w:val="19"/>
          <w:color w:val="auto"/>
        </w:rPr>
        <w:t>is more than five percent of the total</w:t>
      </w:r>
    </w:p>
    <w:p>
      <w:pPr>
        <w:spacing w:after="0"/>
        <w:rPr>
          <w:sz w:val="20"/>
          <w:szCs w:val="20"/>
          <w:color w:val="auto"/>
        </w:rPr>
      </w:pPr>
      <w:r>
        <w:rPr>
          <w:rFonts w:ascii="Courier New" w:cs="Courier New" w:eastAsia="Courier New" w:hAnsi="Courier New"/>
          <w:sz w:val="19"/>
          <w:szCs w:val="19"/>
          <w:color w:val="auto"/>
        </w:rPr>
        <w:t>outstanding common stock.</w:t>
      </w:r>
    </w:p>
    <w:p>
      <w:pPr>
        <w:spacing w:after="0" w:line="219" w:lineRule="exact"/>
        <w:rPr>
          <w:sz w:val="20"/>
          <w:szCs w:val="20"/>
          <w:color w:val="auto"/>
        </w:rPr>
      </w:pPr>
    </w:p>
    <w:p>
      <w:pPr>
        <w:ind w:right="3460"/>
        <w:spacing w:after="0" w:line="236" w:lineRule="auto"/>
        <w:rPr>
          <w:sz w:val="20"/>
          <w:szCs w:val="20"/>
          <w:color w:val="auto"/>
        </w:rPr>
      </w:pPr>
      <w:r>
        <w:rPr>
          <w:rFonts w:ascii="Courier New" w:cs="Courier New" w:eastAsia="Courier New" w:hAnsi="Courier New"/>
          <w:sz w:val="19"/>
          <w:szCs w:val="19"/>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See Exhibit 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Item 8. Identification and Classification of Members of the Group</w:t>
      </w:r>
    </w:p>
    <w:p>
      <w:pPr>
        <w:spacing w:after="0" w:line="200" w:lineRule="exact"/>
        <w:rPr>
          <w:sz w:val="20"/>
          <w:szCs w:val="20"/>
          <w:color w:val="auto"/>
        </w:rPr>
      </w:pPr>
    </w:p>
    <w:p>
      <w:pPr>
        <w:spacing w:after="0" w:line="233" w:lineRule="exact"/>
        <w:rPr>
          <w:sz w:val="20"/>
          <w:szCs w:val="20"/>
          <w:color w:val="auto"/>
        </w:rPr>
      </w:pPr>
    </w:p>
    <w:p>
      <w:pPr>
        <w:ind w:right="2900"/>
        <w:spacing w:after="0" w:line="253" w:lineRule="auto"/>
        <w:rPr>
          <w:sz w:val="20"/>
          <w:szCs w:val="20"/>
          <w:color w:val="auto"/>
        </w:rPr>
      </w:pPr>
      <w:r>
        <w:rPr>
          <w:rFonts w:ascii="Courier New" w:cs="Courier New" w:eastAsia="Courier New" w:hAnsi="Courier New"/>
          <w:sz w:val="18"/>
          <w:szCs w:val="18"/>
          <w:color w:val="auto"/>
        </w:rPr>
        <w:t>If a group has filed this schedule pursuant to Rule 13d-1(b)(ii)(J), so indicate under Item 3(j) and attach an exhibit stating the identity and Item 3 classification of each member of the group. If a group has filed this schedule pursuant to Rule 13d-1(c) or Rule 13d-1(d), attach an exhibit stating the identity of each member of the group.</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Item 9. Notice of Dissolution of Group</w:t>
      </w:r>
    </w:p>
    <w:p>
      <w:pPr>
        <w:spacing w:after="0" w:line="219" w:lineRule="exact"/>
        <w:rPr>
          <w:sz w:val="20"/>
          <w:szCs w:val="20"/>
          <w:color w:val="auto"/>
        </w:rPr>
      </w:pPr>
    </w:p>
    <w:p>
      <w:pPr>
        <w:ind w:right="3020"/>
        <w:spacing w:after="0" w:line="253" w:lineRule="auto"/>
        <w:rPr>
          <w:sz w:val="20"/>
          <w:szCs w:val="20"/>
          <w:color w:val="auto"/>
        </w:rPr>
      </w:pPr>
      <w:r>
        <w:rPr>
          <w:rFonts w:ascii="Courier New" w:cs="Courier New" w:eastAsia="Courier New" w:hAnsi="Courier New"/>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See Item 5.</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Item 10. Certifications</w:t>
      </w:r>
    </w:p>
    <w:p>
      <w:pPr>
        <w:spacing w:after="0" w:line="238" w:lineRule="auto"/>
        <w:rPr>
          <w:sz w:val="20"/>
          <w:szCs w:val="20"/>
          <w:color w:val="auto"/>
        </w:rPr>
      </w:pPr>
      <w:r>
        <w:rPr>
          <w:rFonts w:ascii="Courier New" w:cs="Courier New" w:eastAsia="Courier New" w:hAnsi="Courier New"/>
          <w:sz w:val="19"/>
          <w:szCs w:val="19"/>
          <w:color w:val="auto"/>
        </w:rPr>
        <w:t>By signing below I certify that, to the best of my knowledge and</w:t>
      </w:r>
    </w:p>
    <w:p>
      <w:pPr>
        <w:spacing w:after="0"/>
        <w:rPr>
          <w:sz w:val="20"/>
          <w:szCs w:val="20"/>
          <w:color w:val="auto"/>
        </w:rPr>
      </w:pPr>
      <w:r>
        <w:rPr>
          <w:rFonts w:ascii="Courier New" w:cs="Courier New" w:eastAsia="Courier New" w:hAnsi="Courier New"/>
          <w:sz w:val="19"/>
          <w:szCs w:val="19"/>
          <w:color w:val="auto"/>
        </w:rPr>
        <w:t>belief, the securities referred to above were acquired and are</w:t>
      </w:r>
    </w:p>
    <w:p>
      <w:pPr>
        <w:spacing w:after="0" w:line="237" w:lineRule="auto"/>
        <w:rPr>
          <w:sz w:val="20"/>
          <w:szCs w:val="20"/>
          <w:color w:val="auto"/>
        </w:rPr>
      </w:pPr>
      <w:r>
        <w:rPr>
          <w:rFonts w:ascii="Courier New" w:cs="Courier New" w:eastAsia="Courier New" w:hAnsi="Courier New"/>
          <w:sz w:val="19"/>
          <w:szCs w:val="19"/>
          <w:color w:val="auto"/>
        </w:rPr>
        <w:t>held in the ordinary course of business and were not acquired</w:t>
      </w:r>
    </w:p>
    <w:p>
      <w:pPr>
        <w:spacing w:after="0"/>
        <w:rPr>
          <w:sz w:val="20"/>
          <w:szCs w:val="20"/>
          <w:color w:val="auto"/>
        </w:rPr>
      </w:pPr>
      <w:r>
        <w:rPr>
          <w:rFonts w:ascii="Courier New" w:cs="Courier New" w:eastAsia="Courier New" w:hAnsi="Courier New"/>
          <w:sz w:val="19"/>
          <w:szCs w:val="19"/>
          <w:color w:val="auto"/>
        </w:rPr>
        <w:t>and are not held for the purpose of or with the effect of changing</w:t>
      </w:r>
    </w:p>
    <w:p>
      <w:pPr>
        <w:spacing w:after="0" w:line="237" w:lineRule="auto"/>
        <w:rPr>
          <w:sz w:val="20"/>
          <w:szCs w:val="20"/>
          <w:color w:val="auto"/>
        </w:rPr>
      </w:pPr>
      <w:r>
        <w:rPr>
          <w:rFonts w:ascii="Courier New" w:cs="Courier New" w:eastAsia="Courier New" w:hAnsi="Courier New"/>
          <w:sz w:val="19"/>
          <w:szCs w:val="19"/>
          <w:color w:val="auto"/>
        </w:rPr>
        <w:t>or influencing the control of the issuer of the securities and were</w:t>
      </w:r>
    </w:p>
    <w:p>
      <w:pPr>
        <w:spacing w:after="0"/>
        <w:rPr>
          <w:sz w:val="20"/>
          <w:szCs w:val="20"/>
          <w:color w:val="auto"/>
        </w:rPr>
      </w:pPr>
      <w:r>
        <w:rPr>
          <w:rFonts w:ascii="Courier New" w:cs="Courier New" w:eastAsia="Courier New" w:hAnsi="Courier New"/>
          <w:sz w:val="19"/>
          <w:szCs w:val="19"/>
          <w:color w:val="auto"/>
        </w:rPr>
        <w:t>not acquired and are not held in connection with or as a participant</w:t>
      </w:r>
    </w:p>
    <w:p>
      <w:pPr>
        <w:spacing w:after="0" w:line="237" w:lineRule="auto"/>
        <w:rPr>
          <w:sz w:val="20"/>
          <w:szCs w:val="20"/>
          <w:color w:val="auto"/>
        </w:rPr>
      </w:pPr>
      <w:r>
        <w:rPr>
          <w:rFonts w:ascii="Courier New" w:cs="Courier New" w:eastAsia="Courier New" w:hAnsi="Courier New"/>
          <w:sz w:val="19"/>
          <w:szCs w:val="19"/>
          <w:color w:val="auto"/>
        </w:rPr>
        <w:t>in any transaction having that purpose or effect.</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Signature.</w:t>
      </w:r>
    </w:p>
    <w:p>
      <w:pPr>
        <w:spacing w:after="0" w:line="219" w:lineRule="exact"/>
        <w:rPr>
          <w:sz w:val="20"/>
          <w:szCs w:val="20"/>
          <w:color w:val="auto"/>
        </w:rPr>
      </w:pPr>
    </w:p>
    <w:p>
      <w:pPr>
        <w:ind w:right="3340"/>
        <w:spacing w:after="0" w:line="236" w:lineRule="auto"/>
        <w:rPr>
          <w:sz w:val="20"/>
          <w:szCs w:val="20"/>
          <w:color w:val="auto"/>
        </w:rPr>
      </w:pPr>
      <w:r>
        <w:rPr>
          <w:rFonts w:ascii="Courier New" w:cs="Courier New" w:eastAsia="Courier New" w:hAnsi="Courier New"/>
          <w:sz w:val="19"/>
          <w:szCs w:val="19"/>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Dated: January 28, 2019</w:t>
      </w:r>
    </w:p>
    <w:p>
      <w:pPr>
        <w:spacing w:after="0" w:line="238" w:lineRule="auto"/>
        <w:rPr>
          <w:sz w:val="20"/>
          <w:szCs w:val="20"/>
          <w:color w:val="auto"/>
        </w:rPr>
      </w:pPr>
      <w:r>
        <w:rPr>
          <w:rFonts w:ascii="Courier New" w:cs="Courier New" w:eastAsia="Courier New" w:hAnsi="Courier New"/>
          <w:sz w:val="19"/>
          <w:szCs w:val="19"/>
          <w:color w:val="auto"/>
        </w:rPr>
        <w:t>BlackRock, Inc.</w:t>
      </w:r>
    </w:p>
    <w:p>
      <w:pPr>
        <w:sectPr>
          <w:pgSz w:w="12240" w:h="15840" w:orient="portrait"/>
          <w:cols w:equalWidth="0" w:num="1">
            <w:col w:w="10680"/>
          </w:cols>
          <w:pgMar w:left="120" w:top="0" w:right="1440" w:bottom="0" w:gutter="0" w:footer="0" w:header="0"/>
        </w:sectPr>
      </w:pPr>
    </w:p>
    <w:p>
      <w:pPr>
        <w:spacing w:after="0" w:line="200" w:lineRule="exact"/>
        <w:rPr>
          <w:sz w:val="20"/>
          <w:szCs w:val="20"/>
          <w:color w:val="auto"/>
        </w:rPr>
      </w:pPr>
    </w:p>
    <w:p>
      <w:pPr>
        <w:spacing w:after="0" w:line="234"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8"/>
          <w:szCs w:val="18"/>
          <w:color w:val="auto"/>
        </w:rPr>
        <w:t>Signature:</w:t>
        <w:tab/>
        <w:t>Spencer Fleming</w:t>
      </w:r>
    </w:p>
    <w:p>
      <w:pPr>
        <w:sectPr>
          <w:pgSz w:w="12240" w:h="15840" w:orient="portrait"/>
          <w:cols w:equalWidth="0" w:num="1">
            <w:col w:w="10680"/>
          </w:cols>
          <w:pgMar w:left="120" w:top="0" w:right="1440" w:bottom="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9"/>
          <w:szCs w:val="19"/>
          <w:color w:val="auto"/>
        </w:rPr>
        <w:t>-------------------------------------------</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Name/Title Attorney-In-Fact</w:t>
      </w:r>
    </w:p>
    <w:p>
      <w:pPr>
        <w:spacing w:after="0" w:line="200" w:lineRule="exact"/>
        <w:rPr>
          <w:sz w:val="20"/>
          <w:szCs w:val="20"/>
          <w:color w:val="auto"/>
        </w:rPr>
      </w:pPr>
    </w:p>
    <w:p>
      <w:pPr>
        <w:spacing w:after="0" w:line="233" w:lineRule="exact"/>
        <w:rPr>
          <w:sz w:val="20"/>
          <w:szCs w:val="20"/>
          <w:color w:val="auto"/>
        </w:rPr>
      </w:pPr>
    </w:p>
    <w:p>
      <w:pPr>
        <w:ind w:right="3240"/>
        <w:spacing w:after="0" w:line="251"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rPr>
          <w:sz w:val="20"/>
          <w:szCs w:val="20"/>
          <w:color w:val="auto"/>
        </w:rPr>
      </w:pPr>
      <w:r>
        <w:rPr>
          <w:rFonts w:ascii="Courier New" w:cs="Courier New" w:eastAsia="Courier New" w:hAnsi="Courier New"/>
          <w:sz w:val="19"/>
          <w:szCs w:val="19"/>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120"/>
        <w:spacing w:after="0" w:line="235" w:lineRule="auto"/>
        <w:rPr>
          <w:sz w:val="20"/>
          <w:szCs w:val="20"/>
          <w:color w:val="auto"/>
        </w:rPr>
      </w:pPr>
      <w:r>
        <w:rPr>
          <w:rFonts w:ascii="Courier New" w:cs="Courier New" w:eastAsia="Courier New" w:hAnsi="Courier New"/>
          <w:sz w:val="19"/>
          <w:szCs w:val="19"/>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Subsidiary</w:t>
      </w:r>
    </w:p>
    <w:p>
      <w:pPr>
        <w:spacing w:after="0" w:line="200" w:lineRule="exact"/>
        <w:rPr>
          <w:sz w:val="20"/>
          <w:szCs w:val="20"/>
          <w:color w:val="auto"/>
        </w:rPr>
      </w:pPr>
    </w:p>
    <w:p>
      <w:pPr>
        <w:spacing w:after="0" w:line="227" w:lineRule="exact"/>
        <w:rPr>
          <w:sz w:val="20"/>
          <w:szCs w:val="20"/>
          <w:color w:val="auto"/>
        </w:rPr>
      </w:pPr>
    </w:p>
    <w:p>
      <w:pPr>
        <w:ind w:left="100"/>
        <w:spacing w:after="0"/>
        <w:rPr>
          <w:sz w:val="20"/>
          <w:szCs w:val="20"/>
          <w:color w:val="auto"/>
        </w:rPr>
      </w:pPr>
      <w:r>
        <w:rPr>
          <w:rFonts w:ascii="Courier New" w:cs="Courier New" w:eastAsia="Courier New" w:hAnsi="Courier New"/>
          <w:sz w:val="19"/>
          <w:szCs w:val="19"/>
          <w:color w:val="auto"/>
        </w:rPr>
        <w:t>BlackRock Advisors, LLC</w:t>
      </w:r>
    </w:p>
    <w:p>
      <w:pPr>
        <w:ind w:left="100"/>
        <w:spacing w:after="0" w:line="238" w:lineRule="auto"/>
        <w:rPr>
          <w:sz w:val="20"/>
          <w:szCs w:val="20"/>
          <w:color w:val="auto"/>
        </w:rPr>
      </w:pPr>
      <w:r>
        <w:rPr>
          <w:rFonts w:ascii="Courier New" w:cs="Courier New" w:eastAsia="Courier New" w:hAnsi="Courier New"/>
          <w:sz w:val="19"/>
          <w:szCs w:val="19"/>
          <w:color w:val="auto"/>
        </w:rPr>
        <w:t>BlackRock Investment Management (UK) Limited</w:t>
      </w:r>
    </w:p>
    <w:p>
      <w:pPr>
        <w:ind w:left="100"/>
        <w:spacing w:after="0"/>
        <w:rPr>
          <w:sz w:val="20"/>
          <w:szCs w:val="20"/>
          <w:color w:val="auto"/>
        </w:rPr>
      </w:pPr>
      <w:r>
        <w:rPr>
          <w:rFonts w:ascii="Courier New" w:cs="Courier New" w:eastAsia="Courier New" w:hAnsi="Courier New"/>
          <w:sz w:val="19"/>
          <w:szCs w:val="19"/>
          <w:color w:val="auto"/>
        </w:rPr>
        <w:t>BlackRock Asset Management Canada Limited</w:t>
      </w:r>
    </w:p>
    <w:p>
      <w:pPr>
        <w:ind w:left="100"/>
        <w:spacing w:after="0" w:line="237" w:lineRule="auto"/>
        <w:rPr>
          <w:sz w:val="20"/>
          <w:szCs w:val="20"/>
          <w:color w:val="auto"/>
        </w:rPr>
      </w:pPr>
      <w:r>
        <w:rPr>
          <w:rFonts w:ascii="Courier New" w:cs="Courier New" w:eastAsia="Courier New" w:hAnsi="Courier New"/>
          <w:sz w:val="19"/>
          <w:szCs w:val="19"/>
          <w:color w:val="auto"/>
        </w:rPr>
        <w:t>BlackRock Investment Management (Australia) Limited</w:t>
      </w:r>
    </w:p>
    <w:p>
      <w:pPr>
        <w:ind w:left="100"/>
        <w:spacing w:after="0"/>
        <w:rPr>
          <w:sz w:val="20"/>
          <w:szCs w:val="20"/>
          <w:color w:val="auto"/>
        </w:rPr>
      </w:pPr>
      <w:r>
        <w:rPr>
          <w:rFonts w:ascii="Courier New" w:cs="Courier New" w:eastAsia="Courier New" w:hAnsi="Courier New"/>
          <w:sz w:val="19"/>
          <w:szCs w:val="19"/>
          <w:color w:val="auto"/>
        </w:rPr>
        <w:t>BlackRock (Netherlands) B.V.</w:t>
      </w:r>
    </w:p>
    <w:p>
      <w:pPr>
        <w:ind w:left="100"/>
        <w:spacing w:after="0" w:line="237" w:lineRule="auto"/>
        <w:rPr>
          <w:sz w:val="20"/>
          <w:szCs w:val="20"/>
          <w:color w:val="auto"/>
        </w:rPr>
      </w:pPr>
      <w:r>
        <w:rPr>
          <w:rFonts w:ascii="Courier New" w:cs="Courier New" w:eastAsia="Courier New" w:hAnsi="Courier New"/>
          <w:sz w:val="19"/>
          <w:szCs w:val="19"/>
          <w:color w:val="auto"/>
        </w:rPr>
        <w:t>BlackRock Fund Advisors*</w:t>
      </w:r>
    </w:p>
    <w:p>
      <w:pPr>
        <w:ind w:left="100"/>
        <w:spacing w:after="0"/>
        <w:rPr>
          <w:sz w:val="20"/>
          <w:szCs w:val="20"/>
          <w:color w:val="auto"/>
        </w:rPr>
      </w:pPr>
      <w:r>
        <w:rPr>
          <w:rFonts w:ascii="Courier New" w:cs="Courier New" w:eastAsia="Courier New" w:hAnsi="Courier New"/>
          <w:sz w:val="19"/>
          <w:szCs w:val="19"/>
          <w:color w:val="auto"/>
        </w:rPr>
        <w:t>BlackRock Asset Management Ireland Limited</w:t>
      </w:r>
    </w:p>
    <w:p>
      <w:pPr>
        <w:ind w:left="100"/>
        <w:spacing w:after="0" w:line="237" w:lineRule="auto"/>
        <w:rPr>
          <w:sz w:val="20"/>
          <w:szCs w:val="20"/>
          <w:color w:val="auto"/>
        </w:rPr>
      </w:pPr>
      <w:r>
        <w:rPr>
          <w:rFonts w:ascii="Courier New" w:cs="Courier New" w:eastAsia="Courier New" w:hAnsi="Courier New"/>
          <w:sz w:val="19"/>
          <w:szCs w:val="19"/>
          <w:color w:val="auto"/>
        </w:rPr>
        <w:t>BlackRock Institutional Trust Company, National Association</w:t>
      </w:r>
    </w:p>
    <w:p>
      <w:pPr>
        <w:ind w:left="100"/>
        <w:spacing w:after="0"/>
        <w:rPr>
          <w:sz w:val="20"/>
          <w:szCs w:val="20"/>
          <w:color w:val="auto"/>
        </w:rPr>
      </w:pPr>
      <w:r>
        <w:rPr>
          <w:rFonts w:ascii="Courier New" w:cs="Courier New" w:eastAsia="Courier New" w:hAnsi="Courier New"/>
          <w:sz w:val="19"/>
          <w:szCs w:val="19"/>
          <w:color w:val="auto"/>
        </w:rPr>
        <w:t>BlackRock Financial Management, Inc.</w:t>
      </w:r>
    </w:p>
    <w:p>
      <w:pPr>
        <w:ind w:left="100"/>
        <w:spacing w:after="0" w:line="237" w:lineRule="auto"/>
        <w:rPr>
          <w:sz w:val="20"/>
          <w:szCs w:val="20"/>
          <w:color w:val="auto"/>
        </w:rPr>
      </w:pPr>
      <w:r>
        <w:rPr>
          <w:rFonts w:ascii="Courier New" w:cs="Courier New" w:eastAsia="Courier New" w:hAnsi="Courier New"/>
          <w:sz w:val="19"/>
          <w:szCs w:val="19"/>
          <w:color w:val="auto"/>
        </w:rPr>
        <w:t>BlackRock Asset Management Schweiz AG</w:t>
      </w:r>
    </w:p>
    <w:p>
      <w:pPr>
        <w:ind w:left="100"/>
        <w:spacing w:after="0"/>
        <w:rPr>
          <w:sz w:val="20"/>
          <w:szCs w:val="20"/>
          <w:color w:val="auto"/>
        </w:rPr>
      </w:pPr>
      <w:r>
        <w:rPr>
          <w:rFonts w:ascii="Courier New" w:cs="Courier New" w:eastAsia="Courier New" w:hAnsi="Courier New"/>
          <w:sz w:val="19"/>
          <w:szCs w:val="19"/>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9"/>
          <w:szCs w:val="19"/>
          <w:color w:val="auto"/>
        </w:rPr>
        <w:t>shares of the security class being reported on this</w:t>
      </w:r>
    </w:p>
    <w:p>
      <w:pPr>
        <w:spacing w:after="0"/>
        <w:rPr>
          <w:sz w:val="20"/>
          <w:szCs w:val="20"/>
          <w:color w:val="auto"/>
        </w:rPr>
      </w:pPr>
      <w:r>
        <w:rPr>
          <w:rFonts w:ascii="Courier New" w:cs="Courier New" w:eastAsia="Courier New" w:hAnsi="Courier New"/>
          <w:sz w:val="19"/>
          <w:szCs w:val="19"/>
          <w:color w:val="auto"/>
        </w:rPr>
        <w:t>Schedule 13G.</w:t>
      </w:r>
    </w:p>
    <w:p>
      <w:pPr>
        <w:spacing w:after="0" w:line="237" w:lineRule="auto"/>
        <w:rPr>
          <w:sz w:val="20"/>
          <w:szCs w:val="20"/>
          <w:color w:val="auto"/>
        </w:rPr>
      </w:pPr>
      <w:r>
        <w:rPr>
          <w:rFonts w:ascii="Courier New" w:cs="Courier New" w:eastAsia="Courier New" w:hAnsi="Courier New"/>
          <w:sz w:val="19"/>
          <w:szCs w:val="19"/>
          <w:color w:val="auto"/>
        </w:rPr>
        <w:t>Exhibit B</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POWER OF ATTORNEY</w:t>
      </w:r>
    </w:p>
    <w:p>
      <w:pPr>
        <w:spacing w:after="0" w:line="219" w:lineRule="exact"/>
        <w:rPr>
          <w:sz w:val="20"/>
          <w:szCs w:val="20"/>
          <w:color w:val="auto"/>
        </w:rPr>
      </w:pPr>
    </w:p>
    <w:p>
      <w:pPr>
        <w:ind w:right="3020"/>
        <w:spacing w:after="0" w:line="237" w:lineRule="auto"/>
        <w:rPr>
          <w:sz w:val="20"/>
          <w:szCs w:val="20"/>
          <w:color w:val="auto"/>
        </w:rPr>
      </w:pPr>
      <w:r>
        <w:rPr>
          <w:rFonts w:ascii="Courier New" w:cs="Courier New" w:eastAsia="Courier New" w:hAnsi="Courier New"/>
          <w:sz w:val="19"/>
          <w:szCs w:val="19"/>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8" w:lineRule="exact"/>
        <w:rPr>
          <w:sz w:val="20"/>
          <w:szCs w:val="20"/>
          <w:color w:val="auto"/>
        </w:rPr>
      </w:pPr>
    </w:p>
    <w:p>
      <w:pPr>
        <w:ind w:right="2120"/>
        <w:spacing w:after="0" w:line="251" w:lineRule="auto"/>
        <w:rPr>
          <w:sz w:val="20"/>
          <w:szCs w:val="20"/>
          <w:color w:val="auto"/>
        </w:rPr>
      </w:pPr>
      <w:r>
        <w:rPr>
          <w:rFonts w:ascii="Courier New" w:cs="Courier New" w:eastAsia="Courier New" w:hAnsi="Courier New"/>
          <w:sz w:val="18"/>
          <w:szCs w:val="18"/>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4" w:lineRule="exact"/>
        <w:rPr>
          <w:sz w:val="20"/>
          <w:szCs w:val="20"/>
          <w:color w:val="auto"/>
        </w:rPr>
      </w:pPr>
    </w:p>
    <w:p>
      <w:pPr>
        <w:ind w:right="2680"/>
        <w:spacing w:after="0" w:line="252" w:lineRule="auto"/>
        <w:rPr>
          <w:sz w:val="20"/>
          <w:szCs w:val="20"/>
          <w:color w:val="auto"/>
        </w:rPr>
      </w:pPr>
      <w:r>
        <w:rPr>
          <w:rFonts w:ascii="Courier New" w:cs="Courier New" w:eastAsia="Courier New" w:hAnsi="Courier New"/>
          <w:sz w:val="18"/>
          <w:szCs w:val="18"/>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w:t>
      </w:r>
    </w:p>
    <w:p>
      <w:pPr>
        <w:sectPr>
          <w:pgSz w:w="12240" w:h="15840" w:orient="portrait"/>
          <w:cols w:equalWidth="0" w:num="1">
            <w:col w:w="10680"/>
          </w:cols>
          <w:pgMar w:left="120" w:top="637" w:right="1440" w:bottom="0" w:gutter="0" w:footer="0" w:header="0"/>
        </w:sectPr>
      </w:pPr>
    </w:p>
    <w:bookmarkStart w:id="5" w:name="page6"/>
    <w:bookmarkEnd w:id="5"/>
    <w:p>
      <w:pPr>
        <w:ind w:right="3120"/>
        <w:spacing w:after="0" w:line="251" w:lineRule="auto"/>
        <w:rPr>
          <w:sz w:val="20"/>
          <w:szCs w:val="20"/>
          <w:color w:val="auto"/>
        </w:rPr>
      </w:pPr>
      <w:r>
        <w:rPr>
          <w:rFonts w:ascii="Courier New" w:cs="Courier New" w:eastAsia="Courier New" w:hAnsi="Courier New"/>
          <w:sz w:val="18"/>
          <w:szCs w:val="18"/>
          <w:color w:val="auto"/>
        </w:rPr>
        <w:t>authority or other person, and giving and granting to each such attorney-in-fact power and authority to act in the premises as fully and to all intents and purposes as the Company might or could</w:t>
      </w:r>
    </w:p>
    <w:p>
      <w:pPr>
        <w:spacing w:after="0" w:line="2" w:lineRule="exact"/>
        <w:rPr>
          <w:sz w:val="20"/>
          <w:szCs w:val="20"/>
          <w:color w:val="auto"/>
        </w:rPr>
      </w:pPr>
    </w:p>
    <w:p>
      <w:pPr>
        <w:ind w:right="3120"/>
        <w:spacing w:after="0" w:line="237" w:lineRule="auto"/>
        <w:rPr>
          <w:sz w:val="20"/>
          <w:szCs w:val="20"/>
          <w:color w:val="auto"/>
        </w:rPr>
      </w:pPr>
      <w:r>
        <w:rPr>
          <w:rFonts w:ascii="Courier New" w:cs="Courier New" w:eastAsia="Courier New" w:hAnsi="Courier New"/>
          <w:sz w:val="19"/>
          <w:szCs w:val="19"/>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22" w:lineRule="exact"/>
        <w:rPr>
          <w:sz w:val="20"/>
          <w:szCs w:val="20"/>
          <w:color w:val="auto"/>
        </w:rPr>
      </w:pPr>
    </w:p>
    <w:p>
      <w:pPr>
        <w:ind w:right="2680"/>
        <w:spacing w:after="0" w:line="237" w:lineRule="auto"/>
        <w:rPr>
          <w:sz w:val="20"/>
          <w:szCs w:val="20"/>
          <w:color w:val="auto"/>
        </w:rPr>
      </w:pPr>
      <w:r>
        <w:rPr>
          <w:rFonts w:ascii="Courier New" w:cs="Courier New" w:eastAsia="Courier New" w:hAnsi="Courier New"/>
          <w:sz w:val="19"/>
          <w:szCs w:val="19"/>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36" w:lineRule="exact"/>
        <w:rPr>
          <w:sz w:val="20"/>
          <w:szCs w:val="20"/>
          <w:color w:val="auto"/>
        </w:rPr>
      </w:pPr>
    </w:p>
    <w:p>
      <w:pPr>
        <w:jc w:val="both"/>
        <w:ind w:right="4020"/>
        <w:spacing w:after="0" w:line="257"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2nd day of January, 2019.</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BLACKROCK, INC.</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By:_ /s/ Daniel Waltcher</w:t>
      </w:r>
    </w:p>
    <w:p>
      <w:pPr>
        <w:spacing w:after="0" w:line="238" w:lineRule="auto"/>
        <w:rPr>
          <w:sz w:val="20"/>
          <w:szCs w:val="20"/>
          <w:color w:val="auto"/>
        </w:rPr>
      </w:pPr>
      <w:r>
        <w:rPr>
          <w:rFonts w:ascii="Courier New" w:cs="Courier New" w:eastAsia="Courier New" w:hAnsi="Courier New"/>
          <w:sz w:val="19"/>
          <w:szCs w:val="19"/>
          <w:color w:val="auto"/>
        </w:rPr>
        <w:t>Name: Daniel Waltcher</w:t>
      </w:r>
    </w:p>
    <w:p>
      <w:pPr>
        <w:spacing w:after="0"/>
        <w:rPr>
          <w:sz w:val="20"/>
          <w:szCs w:val="20"/>
          <w:color w:val="auto"/>
        </w:rPr>
      </w:pPr>
      <w:r>
        <w:rPr>
          <w:rFonts w:ascii="Courier New" w:cs="Courier New" w:eastAsia="Courier New" w:hAnsi="Courier New"/>
          <w:sz w:val="19"/>
          <w:szCs w:val="19"/>
          <w:color w:val="auto"/>
        </w:rPr>
        <w:t>Title: Deputy General Counsel</w:t>
      </w:r>
    </w:p>
    <w:sectPr>
      <w:pgSz w:w="12240" w:h="15840" w:orient="portrait"/>
      <w:cols w:equalWidth="0" w:num="1">
        <w:col w:w="10680"/>
      </w:cols>
      <w:pgMar w:left="120" w:top="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24"/>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6"/>
    </w:lvl>
  </w:abstractNum>
  <w:abstractNum w:abstractNumId="3">
    <w:nsid w:val="238E1F29"/>
    <w:multiLevelType w:val="hybridMultilevel"/>
    <w:lvl w:ilvl="0">
      <w:lvlJc w:val="left"/>
      <w:lvlText w:val="(%1)"/>
      <w:numFmt w:val="decimal"/>
      <w:start w:val="12"/>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2019-12-15T11:10:43Z</dcterms:created>
  <dcterms:modified xsi:type="dcterms:W3CDTF">2019-12-15T11:10:43Z</dcterms:modified>
</cp:coreProperties>
</file>