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Miglani Nalin Kumar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jc w:val="center"/>
        <w:ind w:right="175"/>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5"/>
        <w:spacing w:after="0"/>
        <w:rPr>
          <w:sz w:val="20"/>
          <w:szCs w:val="20"/>
          <w:color w:val="auto"/>
        </w:rPr>
      </w:pPr>
      <w:r>
        <w:rPr>
          <w:rFonts w:ascii="Arial" w:cs="Arial" w:eastAsia="Arial" w:hAnsi="Arial"/>
          <w:sz w:val="17"/>
          <w:szCs w:val="17"/>
          <w:color w:val="0000FF"/>
        </w:rPr>
        <w:t>EVP and Chief HR Officer</w:t>
      </w:r>
    </w:p>
    <w:p>
      <w:pPr>
        <w:spacing w:after="0" w:line="329"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159385</wp:posOffset>
            </wp:positionV>
            <wp:extent cx="6964045" cy="1616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61607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ind w:left="42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7"/>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02/01/2021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3"/>
              </w:rPr>
              <w:t>6,037</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A</w:t>
            </w:r>
          </w:p>
        </w:tc>
        <w:tc>
          <w:tcPr>
            <w:tcW w:w="560" w:type="dxa"/>
            <w:vAlign w:val="bottom"/>
            <w:vMerge w:val="restart"/>
          </w:tcPr>
          <w:p>
            <w:pPr>
              <w:jc w:val="right"/>
              <w:spacing w:after="0"/>
              <w:rPr>
                <w:sz w:val="20"/>
                <w:szCs w:val="20"/>
                <w:color w:val="auto"/>
              </w:rPr>
            </w:pPr>
            <w:r>
              <w:rPr>
                <w:rFonts w:ascii="Arial" w:cs="Arial" w:eastAsia="Arial" w:hAnsi="Arial"/>
                <w:sz w:val="11"/>
                <w:szCs w:val="11"/>
                <w:color w:val="008000"/>
              </w:rPr>
              <w:t>(1)</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6,037</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4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Pr>
          <w:p>
            <w:pPr>
              <w:spacing w:after="0"/>
              <w:rPr>
                <w:sz w:val="9"/>
                <w:szCs w:val="9"/>
                <w:color w:val="auto"/>
              </w:rPr>
            </w:pPr>
          </w:p>
        </w:tc>
        <w:tc>
          <w:tcPr>
            <w:tcW w:w="820" w:type="dxa"/>
            <w:vAlign w:val="bottom"/>
          </w:tcPr>
          <w:p>
            <w:pPr>
              <w:spacing w:after="0"/>
              <w:rPr>
                <w:sz w:val="9"/>
                <w:szCs w:val="9"/>
                <w:color w:val="auto"/>
              </w:rPr>
            </w:pP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8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par value $0.001 per</w:t>
            </w:r>
          </w:p>
        </w:tc>
        <w:tc>
          <w:tcPr>
            <w:tcW w:w="15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02/01/2021</w:t>
            </w:r>
          </w:p>
        </w:tc>
        <w:tc>
          <w:tcPr>
            <w:tcW w:w="4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20" w:type="dxa"/>
            <w:vAlign w:val="bottom"/>
            <w:vMerge w:val="restart"/>
          </w:tcPr>
          <w:p>
            <w:pPr>
              <w:ind w:left="180"/>
              <w:spacing w:after="0"/>
              <w:rPr>
                <w:sz w:val="20"/>
                <w:szCs w:val="20"/>
                <w:color w:val="auto"/>
              </w:rPr>
            </w:pPr>
            <w:r>
              <w:rPr>
                <w:rFonts w:ascii="Arial" w:cs="Arial" w:eastAsia="Arial" w:hAnsi="Arial"/>
                <w:sz w:val="13"/>
                <w:szCs w:val="13"/>
                <w:color w:val="0000FF"/>
              </w:rPr>
              <w:t>F</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0000FF"/>
                <w:w w:val="93"/>
              </w:rPr>
              <w:t>2,388</w:t>
            </w:r>
          </w:p>
        </w:tc>
        <w:tc>
          <w:tcPr>
            <w:tcW w:w="420" w:type="dxa"/>
            <w:vAlign w:val="bottom"/>
            <w:vMerge w:val="restart"/>
          </w:tcPr>
          <w:p>
            <w:pPr>
              <w:ind w:left="200"/>
              <w:spacing w:after="0"/>
              <w:rPr>
                <w:sz w:val="20"/>
                <w:szCs w:val="20"/>
                <w:color w:val="auto"/>
              </w:rPr>
            </w:pPr>
            <w:r>
              <w:rPr>
                <w:rFonts w:ascii="Arial" w:cs="Arial" w:eastAsia="Arial" w:hAnsi="Arial"/>
                <w:sz w:val="17"/>
                <w:szCs w:val="17"/>
                <w:color w:val="0000FF"/>
              </w:rPr>
              <w:t>D</w:t>
            </w:r>
          </w:p>
        </w:tc>
        <w:tc>
          <w:tcPr>
            <w:tcW w:w="84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76.68</w:t>
            </w:r>
            <w:r>
              <w:rPr>
                <w:rFonts w:ascii="Arial" w:cs="Arial" w:eastAsia="Arial" w:hAnsi="Arial"/>
                <w:sz w:val="22"/>
                <w:szCs w:val="22"/>
                <w:color w:val="008000"/>
                <w:vertAlign w:val="superscript"/>
              </w:rPr>
              <w:t>(2)</w:t>
            </w: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3,649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240" w:type="dxa"/>
            <w:vAlign w:val="bottom"/>
            <w:gridSpan w:val="9"/>
          </w:tcPr>
          <w:p>
            <w:pPr>
              <w:ind w:left="4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2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60" w:type="dxa"/>
            <w:vAlign w:val="bottom"/>
          </w:tcPr>
          <w:p>
            <w:pPr>
              <w:spacing w:after="0"/>
              <w:rPr>
                <w:sz w:val="11"/>
                <w:szCs w:val="11"/>
                <w:color w:val="auto"/>
              </w:rPr>
            </w:pP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8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shares of common stock, par value $0.001 per share (the "Common Stock") reported in this report were earned pursuant to the performance restricted stock units ("PRSUs") of ExlService Holdings, Inc. (the "Company") granted on February 22, 2018. Such shares of Common Stock were deemed earned on February 1, 2021 based on the Compensation Committee of the Board of Directors administering the award certifying the achievement of performance targets applicable to the PRSUs for the performance period ending on December 31, 2020.</w:t>
      </w:r>
    </w:p>
    <w:p>
      <w:pPr>
        <w:spacing w:after="0" w:line="8" w:lineRule="exact"/>
        <w:rPr>
          <w:rFonts w:ascii="Arial" w:cs="Arial" w:eastAsia="Arial" w:hAnsi="Arial"/>
          <w:sz w:val="12"/>
          <w:szCs w:val="12"/>
          <w:color w:val="008000"/>
        </w:rPr>
      </w:pPr>
    </w:p>
    <w:p>
      <w:pPr>
        <w:jc w:val="both"/>
        <w:ind w:left="40" w:right="240" w:firstLine="7"/>
        <w:spacing w:after="0" w:line="319" w:lineRule="auto"/>
        <w:tabs>
          <w:tab w:leader="none" w:pos="173"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Pursuant to the agreement governing the grant of the PRSUs and pursuant to the Company's 2015 Amendment and Restatement of the 2006 Omnibus Award Plan, pursuant to which such PRSUs were granted, the closing price of the Common Stock on the Nasdaq Global Select Market on the preceding day, January 29, 2021 in this case, is used for purposes of computing tax reporting and withholding.</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ind w:left="6580"/>
        <w:spacing w:after="0" w:line="186"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02/03/2021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27017"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2021-02-03T16:26:11Z</dcterms:created>
  <dcterms:modified xsi:type="dcterms:W3CDTF">2021-02-03T16:26:11Z</dcterms:modified>
</cp:coreProperties>
</file>