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Meckey Samuel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11/08/2020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2,127</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4,477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11/08/2020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651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80.31</w:t>
            </w:r>
            <w:r>
              <w:rPr>
                <w:rFonts w:ascii="Times New Roman" w:cs="Times New Roman" w:eastAsia="Times New Roman" w:hAnsi="Times New Roman"/>
                <w:sz w:val="21"/>
                <w:szCs w:val="21"/>
                <w:color w:val="008000"/>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3,826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11/08/2020</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2,127</w:t>
            </w: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11/08/2028</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4,253</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November 8,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8, 2018, the reporting person was granted 8,506 restricted stock units, 25 percent of the restricted stock units became vested on November 8, 2019, an additional 25 percent of the restricted stock units became vested November 8, 2020, an additional 25 percent of the restricted stock units will vest on November 8, 2021, and the remaining balance 25 percent of the restricted stock units will vest on November 8, 2022.</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11/10/2020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5855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2020-11-10T16:07:25Z</dcterms:created>
  <dcterms:modified xsi:type="dcterms:W3CDTF">2020-11-10T16:07:25Z</dcterms:modified>
</cp:coreProperties>
</file>