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85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EVP, Head of Insurance &amp; CSO</w:t>
      </w:r>
    </w:p>
    <w:p>
      <w:pPr>
        <w:spacing w:after="0" w:line="338" w:lineRule="exact"/>
        <w:rPr>
          <w:sz w:val="24"/>
          <w:szCs w:val="24"/>
          <w:color w:val="auto"/>
        </w:rPr>
      </w:pPr>
    </w:p>
    <w:p>
      <w:pPr>
        <w:sectPr>
          <w:pgSz w:w="11900" w:h="16838" w:orient="portrait"/>
          <w:cols w:equalWidth="0" w:num="3">
            <w:col w:w="3360" w:space="720"/>
            <w:col w:w="3257" w:space="720"/>
            <w:col w:w="3423"/>
          </w:cols>
          <w:pgMar w:left="240" w:top="226" w:right="179" w:bottom="85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85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center"/>
              <w:ind w:right="219"/>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02/13/2015</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2"/>
              <w:spacing w:after="0"/>
              <w:rPr>
                <w:sz w:val="20"/>
                <w:szCs w:val="20"/>
                <w:color w:val="auto"/>
              </w:rPr>
            </w:pPr>
            <w:r>
              <w:rPr>
                <w:rFonts w:ascii="Arial" w:cs="Arial" w:eastAsia="Arial" w:hAnsi="Arial"/>
                <w:sz w:val="18"/>
                <w:szCs w:val="18"/>
                <w:color w:val="0000FF"/>
              </w:rPr>
              <w:t>500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73"/>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23"/>
                <w:szCs w:val="23"/>
                <w:color w:val="auto"/>
              </w:rPr>
            </w:pPr>
          </w:p>
        </w:tc>
        <w:tc>
          <w:tcPr>
            <w:tcW w:w="1300" w:type="dxa"/>
            <w:vAlign w:val="bottom"/>
            <w:gridSpan w:val="3"/>
          </w:tcPr>
          <w:p>
            <w:pPr>
              <w:jc w:val="right"/>
              <w:ind w:right="398"/>
              <w:spacing w:after="0"/>
              <w:rPr>
                <w:sz w:val="20"/>
                <w:szCs w:val="20"/>
                <w:color w:val="auto"/>
              </w:rPr>
            </w:pPr>
            <w:r>
              <w:rPr>
                <w:rFonts w:ascii="Arial" w:cs="Arial" w:eastAsia="Arial" w:hAnsi="Arial"/>
                <w:sz w:val="18"/>
                <w:szCs w:val="18"/>
                <w:color w:val="0000FF"/>
              </w:rPr>
              <w:t>4,114</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8"/>
              </w:rPr>
              <w:t>02/13/2015</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2"/>
              <w:spacing w:after="0"/>
              <w:rPr>
                <w:sz w:val="20"/>
                <w:szCs w:val="20"/>
                <w:color w:val="auto"/>
              </w:rPr>
            </w:pPr>
            <w:r>
              <w:rPr>
                <w:rFonts w:ascii="Arial" w:cs="Arial" w:eastAsia="Arial" w:hAnsi="Arial"/>
                <w:sz w:val="18"/>
                <w:szCs w:val="18"/>
                <w:color w:val="0000FF"/>
              </w:rPr>
              <w:t>733</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center"/>
              <w:ind w:left="173"/>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23"/>
                <w:szCs w:val="23"/>
                <w:color w:val="auto"/>
              </w:rPr>
            </w:pPr>
          </w:p>
        </w:tc>
        <w:tc>
          <w:tcPr>
            <w:tcW w:w="1300" w:type="dxa"/>
            <w:vAlign w:val="bottom"/>
            <w:gridSpan w:val="3"/>
          </w:tcPr>
          <w:p>
            <w:pPr>
              <w:jc w:val="right"/>
              <w:ind w:right="398"/>
              <w:spacing w:after="0"/>
              <w:rPr>
                <w:sz w:val="20"/>
                <w:szCs w:val="20"/>
                <w:color w:val="auto"/>
              </w:rPr>
            </w:pPr>
            <w:r>
              <w:rPr>
                <w:rFonts w:ascii="Arial" w:cs="Arial" w:eastAsia="Arial" w:hAnsi="Arial"/>
                <w:sz w:val="18"/>
                <w:szCs w:val="18"/>
                <w:color w:val="0000FF"/>
              </w:rPr>
              <w:t>4,847</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02/13/2015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474</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31.37</w:t>
            </w:r>
            <w:r>
              <w:rPr>
                <w:rFonts w:ascii="Arial" w:cs="Arial" w:eastAsia="Arial" w:hAnsi="Arial"/>
                <w:sz w:val="22"/>
                <w:szCs w:val="22"/>
                <w:color w:val="008000"/>
                <w:w w:val="84"/>
                <w:vertAlign w:val="superscript"/>
              </w:rPr>
              <w:t>(2)</w:t>
            </w:r>
          </w:p>
        </w:tc>
        <w:tc>
          <w:tcPr>
            <w:tcW w:w="1300" w:type="dxa"/>
            <w:vAlign w:val="bottom"/>
            <w:tcBorders>
              <w:bottom w:val="single" w:sz="8" w:color="2C2C2C"/>
            </w:tcBorders>
            <w:gridSpan w:val="3"/>
          </w:tcPr>
          <w:p>
            <w:pPr>
              <w:jc w:val="right"/>
              <w:ind w:right="398"/>
              <w:spacing w:after="0"/>
              <w:rPr>
                <w:sz w:val="20"/>
                <w:szCs w:val="20"/>
                <w:color w:val="auto"/>
              </w:rPr>
            </w:pPr>
            <w:r>
              <w:rPr>
                <w:rFonts w:ascii="Arial" w:cs="Arial" w:eastAsia="Arial" w:hAnsi="Arial"/>
                <w:sz w:val="18"/>
                <w:szCs w:val="18"/>
                <w:color w:val="0000FF"/>
              </w:rPr>
              <w:t>4,373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10"/>
          </w:tcPr>
          <w:p>
            <w:pPr>
              <w:jc w:val="center"/>
              <w:ind w:right="11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2"/>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jc w:val="center"/>
              <w:ind w:right="239"/>
              <w:spacing w:after="0"/>
              <w:rPr>
                <w:sz w:val="20"/>
                <w:szCs w:val="20"/>
                <w:color w:val="auto"/>
              </w:rPr>
            </w:pPr>
            <w:r>
              <w:rPr>
                <w:rFonts w:ascii="Arial" w:cs="Arial" w:eastAsia="Arial" w:hAnsi="Arial"/>
                <w:sz w:val="12"/>
                <w:szCs w:val="12"/>
                <w:b w:val="1"/>
                <w:bCs w:val="1"/>
                <w:color w:val="auto"/>
                <w:w w:val="99"/>
              </w:rPr>
              <w:t>Shares</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2"/>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500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02/13/2015</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500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15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4,500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ind w:right="232"/>
              <w:spacing w:after="0"/>
              <w:rPr>
                <w:sz w:val="20"/>
                <w:szCs w:val="20"/>
                <w:color w:val="auto"/>
              </w:rPr>
            </w:pPr>
            <w:r>
              <w:rPr>
                <w:rFonts w:ascii="Arial" w:cs="Arial" w:eastAsia="Arial" w:hAnsi="Arial"/>
                <w:sz w:val="11"/>
                <w:szCs w:val="11"/>
                <w:color w:val="008000"/>
              </w:rPr>
              <w:t>(4)</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733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02/13/2015</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733</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15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1,468</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2015. Pursuant to the Company's 2006 Omnibus Award Plan, pursuant to which such restricted stock units were granted, the average of the high and low sale prices of the Common Stock on the Nasdaq Global Select Market on the preceding day is used for tax reporting and withholding purposes.</w:t>
      </w: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500 shares of restricted stock units became vested on February 13, 2015; an additional 1,000 shares of the restricted stock units will vest on February 13, 2016, an additional 1,500 shares of the restricted stock units will vest on February 13, 2017; and the remaining balance i/n/o 2,000 shares of the restricted stock units will vest on February 13, 2018.</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733 shares of restricted stock units became vested on February 13, 2015, an additional 734 shares of the restricted stock units will vest on February 13, 2016; and the remaining balance i/n/o 734 shares of restricted stock units will vest on February 13, 2017.</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2019-12-08T12:09:08Z</dcterms:created>
  <dcterms:modified xsi:type="dcterms:W3CDTF">2019-12-08T12:09:08Z</dcterms:modified>
</cp:coreProperties>
</file>