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Sections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April 16,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186055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EXLSERVICE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640" w:type="dxa"/>
        <w:tblCellMar>
          <w:top w:w="0" w:type="dxa"/>
          <w:left w:w="0" w:type="dxa"/>
          <w:bottom w:w="0" w:type="dxa"/>
          <w:right w:w="0" w:type="dxa"/>
        </w:tblCellMar>
      </w:tblPr>
      <w:tr>
        <w:trPr>
          <w:trHeight w:val="220"/>
        </w:trPr>
        <w:tc>
          <w:tcPr>
            <w:tcW w:w="244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34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001-33089</w:t>
            </w:r>
          </w:p>
        </w:tc>
        <w:tc>
          <w:tcPr>
            <w:tcW w:w="1680" w:type="dxa"/>
            <w:vAlign w:val="bottom"/>
          </w:tcPr>
          <w:p>
            <w:pPr>
              <w:jc w:val="right"/>
              <w:ind w:right="130"/>
              <w:spacing w:after="0"/>
              <w:rPr>
                <w:sz w:val="20"/>
                <w:szCs w:val="20"/>
                <w:color w:val="auto"/>
              </w:rPr>
            </w:pPr>
            <w:r>
              <w:rPr>
                <w:rFonts w:ascii="Arial" w:cs="Arial" w:eastAsia="Arial" w:hAnsi="Arial"/>
                <w:sz w:val="18"/>
                <w:szCs w:val="18"/>
                <w:b w:val="1"/>
                <w:bCs w:val="1"/>
                <w:color w:val="auto"/>
              </w:rPr>
              <w:t>82-0572194</w:t>
            </w:r>
          </w:p>
        </w:tc>
      </w:tr>
      <w:tr>
        <w:trPr>
          <w:trHeight w:val="216"/>
        </w:trPr>
        <w:tc>
          <w:tcPr>
            <w:tcW w:w="2440" w:type="dxa"/>
            <w:vAlign w:val="bottom"/>
          </w:tcPr>
          <w:p>
            <w:pPr>
              <w:jc w:val="center"/>
              <w:ind w:right="10"/>
              <w:spacing w:after="0"/>
              <w:rPr>
                <w:sz w:val="20"/>
                <w:szCs w:val="20"/>
                <w:color w:val="auto"/>
              </w:rPr>
            </w:pPr>
            <w:r>
              <w:rPr>
                <w:rFonts w:ascii="Arial" w:cs="Arial" w:eastAsia="Arial" w:hAnsi="Arial"/>
                <w:sz w:val="18"/>
                <w:szCs w:val="18"/>
                <w:color w:val="auto"/>
                <w:w w:val="92"/>
              </w:rPr>
              <w:t>(State or other jurisdiction</w:t>
            </w:r>
          </w:p>
        </w:tc>
        <w:tc>
          <w:tcPr>
            <w:tcW w:w="5340" w:type="dxa"/>
            <w:vAlign w:val="bottom"/>
          </w:tcPr>
          <w:p>
            <w:pPr>
              <w:jc w:val="center"/>
              <w:ind w:right="190"/>
              <w:spacing w:after="0"/>
              <w:rPr>
                <w:sz w:val="20"/>
                <w:szCs w:val="20"/>
                <w:color w:val="auto"/>
              </w:rPr>
            </w:pPr>
            <w:r>
              <w:rPr>
                <w:rFonts w:ascii="Arial" w:cs="Arial" w:eastAsia="Arial" w:hAnsi="Arial"/>
                <w:sz w:val="18"/>
                <w:szCs w:val="18"/>
                <w:color w:val="auto"/>
                <w:w w:val="92"/>
              </w:rPr>
              <w:t>(Commission File Number)</w:t>
            </w:r>
          </w:p>
        </w:tc>
        <w:tc>
          <w:tcPr>
            <w:tcW w:w="1680" w:type="dxa"/>
            <w:vAlign w:val="bottom"/>
          </w:tcPr>
          <w:p>
            <w:pPr>
              <w:jc w:val="center"/>
              <w:ind w:left="270"/>
              <w:spacing w:after="0"/>
              <w:rPr>
                <w:sz w:val="20"/>
                <w:szCs w:val="20"/>
                <w:color w:val="auto"/>
              </w:rPr>
            </w:pPr>
            <w:r>
              <w:rPr>
                <w:rFonts w:ascii="Arial" w:cs="Arial" w:eastAsia="Arial" w:hAnsi="Arial"/>
                <w:sz w:val="18"/>
                <w:szCs w:val="18"/>
                <w:color w:val="auto"/>
                <w:w w:val="93"/>
              </w:rPr>
              <w:t>(I.R.S. Employer</w:t>
            </w:r>
          </w:p>
        </w:tc>
      </w:tr>
      <w:tr>
        <w:trPr>
          <w:trHeight w:val="230"/>
        </w:trPr>
        <w:tc>
          <w:tcPr>
            <w:tcW w:w="2440" w:type="dxa"/>
            <w:vAlign w:val="bottom"/>
          </w:tcPr>
          <w:p>
            <w:pPr>
              <w:jc w:val="center"/>
              <w:spacing w:after="0"/>
              <w:rPr>
                <w:sz w:val="20"/>
                <w:szCs w:val="20"/>
                <w:color w:val="auto"/>
              </w:rPr>
            </w:pPr>
            <w:r>
              <w:rPr>
                <w:rFonts w:ascii="Arial" w:cs="Arial" w:eastAsia="Arial" w:hAnsi="Arial"/>
                <w:sz w:val="18"/>
                <w:szCs w:val="18"/>
                <w:color w:val="auto"/>
                <w:w w:val="92"/>
              </w:rPr>
              <w:t>of incorporation or organization)</w:t>
            </w:r>
          </w:p>
        </w:tc>
        <w:tc>
          <w:tcPr>
            <w:tcW w:w="5340" w:type="dxa"/>
            <w:vAlign w:val="bottom"/>
          </w:tcPr>
          <w:p>
            <w:pPr>
              <w:spacing w:after="0"/>
              <w:rPr>
                <w:sz w:val="20"/>
                <w:szCs w:val="20"/>
                <w:color w:val="auto"/>
              </w:rPr>
            </w:pPr>
          </w:p>
        </w:tc>
        <w:tc>
          <w:tcPr>
            <w:tcW w:w="1680" w:type="dxa"/>
            <w:vAlign w:val="bottom"/>
          </w:tcPr>
          <w:p>
            <w:pPr>
              <w:jc w:val="center"/>
              <w:ind w:left="2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440" w:type="dxa"/>
            <w:vAlign w:val="bottom"/>
          </w:tcPr>
          <w:p>
            <w:pPr>
              <w:spacing w:after="0"/>
              <w:rPr>
                <w:sz w:val="24"/>
                <w:szCs w:val="24"/>
                <w:color w:val="auto"/>
              </w:rPr>
            </w:pPr>
          </w:p>
        </w:tc>
        <w:tc>
          <w:tcPr>
            <w:tcW w:w="5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320 Park Avenue, 29th Floor,</w:t>
            </w:r>
          </w:p>
        </w:tc>
        <w:tc>
          <w:tcPr>
            <w:tcW w:w="1680" w:type="dxa"/>
            <w:vAlign w:val="bottom"/>
          </w:tcPr>
          <w:p>
            <w:pPr>
              <w:spacing w:after="0"/>
              <w:rPr>
                <w:sz w:val="24"/>
                <w:szCs w:val="24"/>
                <w:color w:val="auto"/>
              </w:rPr>
            </w:pPr>
          </w:p>
        </w:tc>
      </w:tr>
      <w:tr>
        <w:trPr>
          <w:trHeight w:val="220"/>
        </w:trPr>
        <w:tc>
          <w:tcPr>
            <w:tcW w:w="2440" w:type="dxa"/>
            <w:vAlign w:val="bottom"/>
          </w:tcPr>
          <w:p>
            <w:pPr>
              <w:spacing w:after="0"/>
              <w:rPr>
                <w:sz w:val="19"/>
                <w:szCs w:val="19"/>
                <w:color w:val="auto"/>
              </w:rPr>
            </w:pPr>
          </w:p>
        </w:tc>
        <w:tc>
          <w:tcPr>
            <w:tcW w:w="5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New York, New York</w:t>
            </w:r>
          </w:p>
        </w:tc>
        <w:tc>
          <w:tcPr>
            <w:tcW w:w="1680" w:type="dxa"/>
            <w:vAlign w:val="bottom"/>
          </w:tcPr>
          <w:p>
            <w:pPr>
              <w:jc w:val="right"/>
              <w:ind w:right="350"/>
              <w:spacing w:after="0"/>
              <w:rPr>
                <w:sz w:val="20"/>
                <w:szCs w:val="20"/>
                <w:color w:val="auto"/>
              </w:rPr>
            </w:pPr>
            <w:r>
              <w:rPr>
                <w:rFonts w:ascii="Arial" w:cs="Arial" w:eastAsia="Arial" w:hAnsi="Arial"/>
                <w:sz w:val="18"/>
                <w:szCs w:val="18"/>
                <w:b w:val="1"/>
                <w:bCs w:val="1"/>
                <w:color w:val="auto"/>
              </w:rPr>
              <w:t>10022</w:t>
            </w:r>
          </w:p>
        </w:tc>
      </w:tr>
      <w:tr>
        <w:trPr>
          <w:trHeight w:val="230"/>
        </w:trPr>
        <w:tc>
          <w:tcPr>
            <w:tcW w:w="2440" w:type="dxa"/>
            <w:vAlign w:val="bottom"/>
          </w:tcPr>
          <w:p>
            <w:pPr>
              <w:spacing w:after="0"/>
              <w:rPr>
                <w:sz w:val="20"/>
                <w:szCs w:val="20"/>
                <w:color w:val="auto"/>
              </w:rPr>
            </w:pPr>
          </w:p>
        </w:tc>
        <w:tc>
          <w:tcPr>
            <w:tcW w:w="5340" w:type="dxa"/>
            <w:vAlign w:val="bottom"/>
          </w:tcPr>
          <w:p>
            <w:pPr>
              <w:jc w:val="center"/>
              <w:ind w:right="130"/>
              <w:spacing w:after="0"/>
              <w:rPr>
                <w:sz w:val="20"/>
                <w:szCs w:val="20"/>
                <w:color w:val="auto"/>
              </w:rPr>
            </w:pPr>
            <w:r>
              <w:rPr>
                <w:rFonts w:ascii="Arial" w:cs="Arial" w:eastAsia="Arial" w:hAnsi="Arial"/>
                <w:sz w:val="18"/>
                <w:szCs w:val="18"/>
                <w:color w:val="auto"/>
                <w:w w:val="92"/>
              </w:rPr>
              <w:t>(Address of principal executive offices)</w:t>
            </w:r>
          </w:p>
        </w:tc>
        <w:tc>
          <w:tcPr>
            <w:tcW w:w="1680" w:type="dxa"/>
            <w:vAlign w:val="bottom"/>
          </w:tcPr>
          <w:p>
            <w:pPr>
              <w:jc w:val="center"/>
              <w:ind w:left="270"/>
              <w:spacing w:after="0"/>
              <w:rPr>
                <w:sz w:val="20"/>
                <w:szCs w:val="20"/>
                <w:color w:val="auto"/>
              </w:rPr>
            </w:pPr>
            <w:r>
              <w:rPr>
                <w:rFonts w:ascii="Arial" w:cs="Arial" w:eastAsia="Arial" w:hAnsi="Arial"/>
                <w:sz w:val="18"/>
                <w:szCs w:val="18"/>
                <w:color w:val="auto"/>
                <w:w w:val="93"/>
              </w:rPr>
              <w:t>(Zip code)</w:t>
            </w:r>
          </w:p>
        </w:tc>
      </w:tr>
      <w:tr>
        <w:trPr>
          <w:trHeight w:val="432"/>
        </w:trPr>
        <w:tc>
          <w:tcPr>
            <w:tcW w:w="2440" w:type="dxa"/>
            <w:vAlign w:val="bottom"/>
          </w:tcPr>
          <w:p>
            <w:pPr>
              <w:spacing w:after="0"/>
              <w:rPr>
                <w:sz w:val="24"/>
                <w:szCs w:val="24"/>
                <w:color w:val="auto"/>
              </w:rPr>
            </w:pPr>
          </w:p>
        </w:tc>
        <w:tc>
          <w:tcPr>
            <w:tcW w:w="5340" w:type="dxa"/>
            <w:vAlign w:val="bottom"/>
          </w:tcPr>
          <w:p>
            <w:pPr>
              <w:jc w:val="center"/>
              <w:ind w:right="17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(212) 277-7100</w:t>
            </w:r>
          </w:p>
        </w:tc>
        <w:tc>
          <w:tcPr>
            <w:tcW w:w="1680" w:type="dxa"/>
            <w:vAlign w:val="bottom"/>
          </w:tcPr>
          <w:p>
            <w:pPr>
              <w:spacing w:after="0"/>
              <w:rPr>
                <w:sz w:val="24"/>
                <w:szCs w:val="24"/>
                <w:color w:val="auto"/>
              </w:rPr>
            </w:pPr>
          </w:p>
        </w:tc>
      </w:tr>
      <w:tr>
        <w:trPr>
          <w:trHeight w:val="418"/>
        </w:trPr>
        <w:tc>
          <w:tcPr>
            <w:tcW w:w="2440" w:type="dxa"/>
            <w:vAlign w:val="bottom"/>
          </w:tcPr>
          <w:p>
            <w:pPr>
              <w:spacing w:after="0"/>
              <w:rPr>
                <w:sz w:val="24"/>
                <w:szCs w:val="24"/>
                <w:color w:val="auto"/>
              </w:rPr>
            </w:pPr>
          </w:p>
        </w:tc>
        <w:tc>
          <w:tcPr>
            <w:tcW w:w="5340" w:type="dxa"/>
            <w:vAlign w:val="bottom"/>
          </w:tcPr>
          <w:p>
            <w:pPr>
              <w:jc w:val="center"/>
              <w:ind w:right="170"/>
              <w:spacing w:after="0"/>
              <w:rPr>
                <w:sz w:val="20"/>
                <w:szCs w:val="20"/>
                <w:color w:val="auto"/>
              </w:rPr>
            </w:pPr>
            <w:r>
              <w:rPr>
                <w:rFonts w:ascii="Arial" w:cs="Arial" w:eastAsia="Arial" w:hAnsi="Arial"/>
                <w:sz w:val="18"/>
                <w:szCs w:val="18"/>
                <w:b w:val="1"/>
                <w:bCs w:val="1"/>
                <w:color w:val="auto"/>
              </w:rPr>
              <w:t>NOT APPLICABLE</w:t>
            </w:r>
          </w:p>
        </w:tc>
        <w:tc>
          <w:tcPr>
            <w:tcW w:w="1680" w:type="dxa"/>
            <w:vAlign w:val="bottom"/>
          </w:tcPr>
          <w:p>
            <w:pPr>
              <w:spacing w:after="0"/>
              <w:rPr>
                <w:sz w:val="24"/>
                <w:szCs w:val="24"/>
                <w:color w:val="auto"/>
              </w:rPr>
            </w:pPr>
          </w:p>
        </w:tc>
      </w:tr>
      <w:tr>
        <w:trPr>
          <w:trHeight w:val="230"/>
        </w:trPr>
        <w:tc>
          <w:tcPr>
            <w:tcW w:w="2440" w:type="dxa"/>
            <w:vAlign w:val="bottom"/>
          </w:tcPr>
          <w:p>
            <w:pPr>
              <w:spacing w:after="0"/>
              <w:rPr>
                <w:sz w:val="20"/>
                <w:szCs w:val="20"/>
                <w:color w:val="auto"/>
              </w:rPr>
            </w:pPr>
          </w:p>
        </w:tc>
        <w:tc>
          <w:tcPr>
            <w:tcW w:w="5340" w:type="dxa"/>
            <w:vAlign w:val="bottom"/>
          </w:tcPr>
          <w:p>
            <w:pPr>
              <w:jc w:val="center"/>
              <w:ind w:right="150"/>
              <w:spacing w:after="0"/>
              <w:rPr>
                <w:sz w:val="20"/>
                <w:szCs w:val="20"/>
                <w:color w:val="auto"/>
              </w:rPr>
            </w:pPr>
            <w:r>
              <w:rPr>
                <w:rFonts w:ascii="Arial" w:cs="Arial" w:eastAsia="Arial" w:hAnsi="Arial"/>
                <w:sz w:val="18"/>
                <w:szCs w:val="18"/>
                <w:color w:val="auto"/>
                <w:w w:val="89"/>
              </w:rPr>
              <w:t>(Former name or address, if changed since last report)</w:t>
            </w:r>
          </w:p>
        </w:tc>
        <w:tc>
          <w:tcPr>
            <w:tcW w:w="16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660" w:hanging="652"/>
        <w:spacing w:after="0" w:line="277"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3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3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3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74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36"/>
        </w:trPr>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EXLS</w:t>
            </w:r>
          </w:p>
        </w:tc>
        <w:tc>
          <w:tcPr>
            <w:tcW w:w="4360" w:type="dxa"/>
            <w:vAlign w:val="bottom"/>
          </w:tcPr>
          <w:p>
            <w:pPr>
              <w:jc w:val="center"/>
              <w:spacing w:after="0"/>
              <w:rPr>
                <w:sz w:val="20"/>
                <w:szCs w:val="20"/>
                <w:color w:val="auto"/>
              </w:rPr>
            </w:pPr>
            <w:r>
              <w:rPr>
                <w:rFonts w:ascii="Arial" w:cs="Arial" w:eastAsia="Arial" w:hAnsi="Arial"/>
                <w:sz w:val="18"/>
                <w:szCs w:val="18"/>
                <w:color w:val="auto"/>
                <w:w w:val="97"/>
              </w:rPr>
              <w:t>NASDAQ</w:t>
            </w:r>
          </w:p>
        </w:tc>
      </w:tr>
      <w:tr>
        <w:trPr>
          <w:trHeight w:val="27"/>
        </w:trPr>
        <w:tc>
          <w:tcPr>
            <w:tcW w:w="374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63"/>
        </w:trPr>
        <w:tc>
          <w:tcPr>
            <w:tcW w:w="3740" w:type="dxa"/>
            <w:vAlign w:val="bottom"/>
            <w:tcBorders>
              <w:bottom w:val="single" w:sz="8" w:color="auto"/>
            </w:tcBorders>
          </w:tcPr>
          <w:p>
            <w:pPr>
              <w:spacing w:after="0"/>
              <w:rPr>
                <w:sz w:val="22"/>
                <w:szCs w:val="22"/>
                <w:color w:val="auto"/>
              </w:rPr>
            </w:pPr>
          </w:p>
        </w:tc>
        <w:tc>
          <w:tcPr>
            <w:tcW w:w="3140" w:type="dxa"/>
            <w:vAlign w:val="bottom"/>
            <w:tcBorders>
              <w:bottom w:val="single" w:sz="8" w:color="auto"/>
            </w:tcBorders>
          </w:tcPr>
          <w:p>
            <w:pPr>
              <w:spacing w:after="0"/>
              <w:rPr>
                <w:sz w:val="22"/>
                <w:szCs w:val="22"/>
                <w:color w:val="auto"/>
              </w:rPr>
            </w:pPr>
          </w:p>
        </w:tc>
        <w:tc>
          <w:tcPr>
            <w:tcW w:w="4360" w:type="dxa"/>
            <w:vAlign w:val="bottom"/>
            <w:tcBorders>
              <w:bottom w:val="single" w:sz="8" w:color="auto"/>
            </w:tcBorders>
          </w:tcPr>
          <w:p>
            <w:pPr>
              <w:spacing w:after="0"/>
              <w:rPr>
                <w:sz w:val="22"/>
                <w:szCs w:val="22"/>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459"/>
        </w:trPr>
        <w:tc>
          <w:tcPr>
            <w:tcW w:w="37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2"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April 16, 2021, ExlService Holdings, Inc. (the “Company”) and each other Loan Party (as defined in the Credit Agreement referred to below), Citibank, N.A., as administrative agent (the “Administrative Agent”), and certain Lenders (as defined below), entered into a third amendment (the “Amendment”) to the Company’s Credit Agreement, effective as of November 21, 2017, as amended, among the Company, as borrower, each Loan Party, each lender from time to time party thereto (the “Lenders”), and the Administrative Agent (the “Credit Agreement”). The purposes of the Amendment are to (a) permit additional share repurchases in an amount not to exceed $125,000,000 in any calendar year and (b) provide additional flexibility to the Company to enter into multi-entity, multi-currency notional cash pooling arrangements among its Affiliates.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foregoing description of the Amendment does not purport to be complete and is qualified in its entirety by reference to the full text of the Amendment, which is attached hereto as Exhibit 10.1 and incorporated herein by reference.</w:t>
      </w:r>
    </w:p>
    <w:p>
      <w:pPr>
        <w:spacing w:after="0" w:line="166" w:lineRule="exact"/>
        <w:rPr>
          <w:sz w:val="20"/>
          <w:szCs w:val="20"/>
          <w:color w:val="auto"/>
        </w:rPr>
      </w:pPr>
    </w:p>
    <w:p>
      <w:pPr>
        <w:jc w:val="both"/>
        <w:ind w:left="130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April 16, 2021, Pavan Bagai, the Company’s President and Chief Operating Officer, provided notice to the Company that he will be retiring. Mr. Bagai’s retirement will be effective as of October 1, 2021, until which time he will, among his regular duties, assist with an orderly transition of his responsibilities to other members of the Company’s executive team.</w:t>
      </w:r>
    </w:p>
    <w:p>
      <w:pPr>
        <w:spacing w:after="0" w:line="39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3"/>
              </w:rPr>
              <w:t>Exhibit</w:t>
            </w:r>
          </w:p>
        </w:tc>
        <w:tc>
          <w:tcPr>
            <w:tcW w:w="56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9200" w:type="dxa"/>
            <w:vAlign w:val="bottom"/>
            <w:gridSpan w:val="3"/>
          </w:tcPr>
          <w:p>
            <w:pPr>
              <w:spacing w:after="0"/>
              <w:rPr>
                <w:sz w:val="17"/>
                <w:szCs w:val="17"/>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560" w:type="dxa"/>
            <w:vAlign w:val="bottom"/>
          </w:tcPr>
          <w:p>
            <w:pPr>
              <w:spacing w:after="0"/>
              <w:rPr>
                <w:sz w:val="17"/>
                <w:szCs w:val="17"/>
                <w:color w:val="auto"/>
              </w:rPr>
            </w:pPr>
          </w:p>
        </w:tc>
        <w:tc>
          <w:tcPr>
            <w:tcW w:w="10100" w:type="dxa"/>
            <w:vAlign w:val="bottom"/>
            <w:gridSpan w:val="4"/>
          </w:tcPr>
          <w:p>
            <w:pPr>
              <w:spacing w:after="0" w:line="196" w:lineRule="exact"/>
              <w:rPr>
                <w:rFonts w:ascii="Arial" w:cs="Arial" w:eastAsia="Arial" w:hAnsi="Arial"/>
                <w:sz w:val="18"/>
                <w:szCs w:val="18"/>
                <w:color w:val="0000EE"/>
                <w:w w:val="94"/>
              </w:rPr>
            </w:pPr>
            <w:hyperlink w:anchor="page4">
              <w:r>
                <w:rPr>
                  <w:rFonts w:ascii="Arial" w:cs="Arial" w:eastAsia="Arial" w:hAnsi="Arial"/>
                  <w:sz w:val="18"/>
                  <w:szCs w:val="18"/>
                  <w:color w:val="0000EE"/>
                  <w:w w:val="94"/>
                </w:rPr>
                <w:t>Third Amendment to Credit Agreement, dated as of April 16, 2021, by and among the Company and the other loan parties thereto, the</w:t>
              </w:r>
            </w:hyperlink>
          </w:p>
        </w:tc>
      </w:tr>
      <w:tr>
        <w:trPr>
          <w:trHeight w:val="196"/>
        </w:trPr>
        <w:tc>
          <w:tcPr>
            <w:tcW w:w="3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lenders party thereto, and Citibank, N.A., as administrative agent.</w:t>
              </w:r>
            </w:hyperlink>
          </w:p>
        </w:tc>
      </w:tr>
      <w:tr>
        <w:trPr>
          <w:trHeight w:val="196"/>
        </w:trPr>
        <w:tc>
          <w:tcPr>
            <w:tcW w:w="580" w:type="dxa"/>
            <w:vAlign w:val="bottom"/>
            <w:gridSpan w:val="2"/>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560" w:type="dxa"/>
            <w:vAlign w:val="bottom"/>
          </w:tcPr>
          <w:p>
            <w:pPr>
              <w:spacing w:after="0"/>
              <w:rPr>
                <w:sz w:val="17"/>
                <w:szCs w:val="17"/>
                <w:color w:val="auto"/>
              </w:rPr>
            </w:pPr>
          </w:p>
        </w:tc>
        <w:tc>
          <w:tcPr>
            <w:tcW w:w="47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Press Release, dated April 19, 2021.</w:t>
              </w:r>
            </w:hyperlink>
          </w:p>
        </w:tc>
        <w:tc>
          <w:tcPr>
            <w:tcW w:w="5380" w:type="dxa"/>
            <w:vAlign w:val="bottom"/>
          </w:tcPr>
          <w:p>
            <w:pPr>
              <w:spacing w:after="0"/>
              <w:rPr>
                <w:sz w:val="17"/>
                <w:szCs w:val="17"/>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7480" w:type="dxa"/>
            <w:vAlign w:val="bottom"/>
            <w:gridSpan w:val="2"/>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100" w:type="dxa"/>
            <w:vAlign w:val="bottom"/>
            <w:gridSpan w:val="4"/>
          </w:tcPr>
          <w:p>
            <w:pPr>
              <w:spacing w:after="0"/>
              <w:rPr>
                <w:sz w:val="20"/>
                <w:szCs w:val="20"/>
                <w:color w:val="auto"/>
              </w:rPr>
            </w:pPr>
            <w:r>
              <w:rPr>
                <w:rFonts w:ascii="Arial" w:cs="Arial" w:eastAsia="Arial" w:hAnsi="Arial"/>
                <w:sz w:val="18"/>
                <w:szCs w:val="18"/>
                <w:color w:val="auto"/>
              </w:rPr>
              <w:t>Cover Page Interactive Data File (the cover page XBRL tags are embedded within the inline XBRL document)</w:t>
            </w:r>
          </w:p>
        </w:tc>
      </w:tr>
      <w:tr>
        <w:trPr>
          <w:trHeight w:val="432"/>
        </w:trPr>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60" w:type="dxa"/>
            <w:vAlign w:val="bottom"/>
          </w:tcPr>
          <w:p>
            <w:pPr>
              <w:spacing w:after="0"/>
              <w:rPr>
                <w:sz w:val="19"/>
                <w:szCs w:val="19"/>
                <w:color w:val="auto"/>
              </w:rPr>
            </w:pPr>
          </w:p>
        </w:tc>
        <w:tc>
          <w:tcPr>
            <w:tcW w:w="7680" w:type="dxa"/>
            <w:vAlign w:val="bottom"/>
            <w:gridSpan w:val="2"/>
          </w:tcPr>
          <w:p>
            <w:pPr>
              <w:ind w:left="208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Arial" w:cs="Arial" w:eastAsia="Arial" w:hAnsi="Arial"/>
                <w:sz w:val="18"/>
                <w:szCs w:val="18"/>
                <w:color w:val="auto"/>
              </w:rPr>
              <w:t>(Registrant)</w:t>
            </w:r>
          </w:p>
        </w:tc>
      </w:tr>
      <w:tr>
        <w:trPr>
          <w:trHeight w:val="648"/>
        </w:trPr>
        <w:tc>
          <w:tcPr>
            <w:tcW w:w="3560" w:type="dxa"/>
            <w:vAlign w:val="bottom"/>
          </w:tcPr>
          <w:p>
            <w:pPr>
              <w:spacing w:after="0"/>
              <w:rPr>
                <w:sz w:val="20"/>
                <w:szCs w:val="20"/>
                <w:color w:val="auto"/>
              </w:rPr>
            </w:pPr>
            <w:r>
              <w:rPr>
                <w:rFonts w:ascii="Arial" w:cs="Arial" w:eastAsia="Arial" w:hAnsi="Arial"/>
                <w:sz w:val="18"/>
                <w:szCs w:val="18"/>
                <w:color w:val="auto"/>
              </w:rPr>
              <w:t>Date: April 19, 2021</w:t>
            </w:r>
          </w:p>
        </w:tc>
        <w:tc>
          <w:tcPr>
            <w:tcW w:w="2860" w:type="dxa"/>
            <w:vAlign w:val="bottom"/>
          </w:tcPr>
          <w:p>
            <w:pPr>
              <w:ind w:left="208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Ajay Ayyappan</w:t>
            </w:r>
          </w:p>
        </w:tc>
      </w:tr>
      <w:tr>
        <w:trPr>
          <w:trHeight w:val="195"/>
        </w:trPr>
        <w:tc>
          <w:tcPr>
            <w:tcW w:w="3560" w:type="dxa"/>
            <w:vAlign w:val="bottom"/>
          </w:tcPr>
          <w:p>
            <w:pPr>
              <w:spacing w:after="0"/>
              <w:rPr>
                <w:sz w:val="16"/>
                <w:szCs w:val="16"/>
                <w:color w:val="auto"/>
              </w:rPr>
            </w:pPr>
          </w:p>
        </w:tc>
        <w:tc>
          <w:tcPr>
            <w:tcW w:w="2860" w:type="dxa"/>
            <w:vAlign w:val="bottom"/>
          </w:tcPr>
          <w:p>
            <w:pPr>
              <w:ind w:left="2080"/>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Ajay Ayyappan</w:t>
            </w:r>
          </w:p>
        </w:tc>
      </w:tr>
      <w:tr>
        <w:trPr>
          <w:trHeight w:val="230"/>
        </w:trPr>
        <w:tc>
          <w:tcPr>
            <w:tcW w:w="3560" w:type="dxa"/>
            <w:vAlign w:val="bottom"/>
          </w:tcPr>
          <w:p>
            <w:pPr>
              <w:spacing w:after="0"/>
              <w:rPr>
                <w:sz w:val="20"/>
                <w:szCs w:val="20"/>
                <w:color w:val="auto"/>
              </w:rPr>
            </w:pPr>
          </w:p>
        </w:tc>
        <w:tc>
          <w:tcPr>
            <w:tcW w:w="2860" w:type="dxa"/>
            <w:vAlign w:val="bottom"/>
          </w:tcPr>
          <w:p>
            <w:pPr>
              <w:ind w:left="2080"/>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General Counsel and Corporate Secretary</w:t>
            </w:r>
          </w:p>
        </w:tc>
      </w:tr>
      <w:tr>
        <w:trPr>
          <w:trHeight w:val="648"/>
        </w:trPr>
        <w:tc>
          <w:tcPr>
            <w:tcW w:w="35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10.1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AMENDMENT TO CREDIT AGREEMENT</w:t>
      </w:r>
    </w:p>
    <w:p>
      <w:pPr>
        <w:spacing w:after="0" w:line="229"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THIRD AMENDMENT TO CREDIT AGREEMENT, dated as of April 16, 2021 (this “</w:t>
      </w:r>
      <w:r>
        <w:rPr>
          <w:rFonts w:ascii="Arial" w:cs="Arial" w:eastAsia="Arial" w:hAnsi="Arial"/>
          <w:sz w:val="17"/>
          <w:szCs w:val="17"/>
          <w:u w:val="single" w:color="auto"/>
          <w:color w:val="auto"/>
        </w:rPr>
        <w:t>Third Amendment</w:t>
      </w:r>
      <w:r>
        <w:rPr>
          <w:rFonts w:ascii="Arial" w:cs="Arial" w:eastAsia="Arial" w:hAnsi="Arial"/>
          <w:sz w:val="17"/>
          <w:szCs w:val="17"/>
          <w:color w:val="auto"/>
        </w:rPr>
        <w:t>”), by and among ExlService Holdings, Inc., a Delaware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each other Loan Party (as defined in the Credit Agreement referred to below), Citibank, N.A., as administrative agent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and certain Lenders (as defined below) party to the Credit Agreement referred to below.</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p>
    <w:p>
      <w:pPr>
        <w:spacing w:after="0" w:line="22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WHEREAS, the Borrower, each Loan Party, each lender from time to time party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and the Administrative Agent have entered into that certain Credit Agreement, dated as of November 21, 2017 (as amended, restated, amended and restated, modified or supplemented from time to time through the date hereof, including pursuant to that certain First Amendment to Credit Agreement, dated as of July 2, 2018, and pursuant to that certain Second Amendment to Credit Agreement, dated as of October 1, 2018,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(capitalized terms not otherwise defined in this Third Amendment have the same meanings assigned thereto in the Credit Agreement);</w:t>
      </w:r>
    </w:p>
    <w:p>
      <w:pPr>
        <w:spacing w:after="0" w:line="17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WHEREAS, pursuant to Section 9.02 of the Credit Agreement, the Borrower has requested that the Credit Agreement be amended as more fully described herein and the Required Lenders are so willing to amend the Credit Agreement on the terms and subject to the conditions set forth herein;</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and sufficiency of all of which is hereby acknowledged, the parties hereto hereby agree as follows: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Amendment to Credit Agreement</w:t>
      </w:r>
      <w:r>
        <w:rPr>
          <w:rFonts w:ascii="Arial" w:cs="Arial" w:eastAsia="Arial" w:hAnsi="Arial"/>
          <w:sz w:val="18"/>
          <w:szCs w:val="18"/>
          <w:color w:val="auto"/>
        </w:rPr>
        <w:t>.</w:t>
      </w:r>
    </w:p>
    <w:p>
      <w:pPr>
        <w:spacing w:after="0" w:line="225" w:lineRule="exact"/>
        <w:rPr>
          <w:sz w:val="20"/>
          <w:szCs w:val="20"/>
          <w:color w:val="auto"/>
        </w:rPr>
      </w:pPr>
    </w:p>
    <w:p>
      <w:pPr>
        <w:ind w:left="2040" w:hanging="736"/>
        <w:spacing w:after="0"/>
        <w:tabs>
          <w:tab w:leader="none" w:pos="2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Section 6.01(m) of the Credit Agreement is hereby amended and restated in its entirety to read as follows:</w:t>
      </w:r>
    </w:p>
    <w:p>
      <w:pPr>
        <w:spacing w:after="0" w:line="225" w:lineRule="exact"/>
        <w:rPr>
          <w:sz w:val="20"/>
          <w:szCs w:val="20"/>
          <w:color w:val="auto"/>
        </w:rPr>
      </w:pPr>
    </w:p>
    <w:p>
      <w:pPr>
        <w:jc w:val="both"/>
        <w:ind w:left="1300"/>
        <w:spacing w:after="0" w:line="311" w:lineRule="auto"/>
        <w:rPr>
          <w:sz w:val="20"/>
          <w:szCs w:val="20"/>
          <w:color w:val="auto"/>
        </w:rPr>
      </w:pPr>
      <w:r>
        <w:rPr>
          <w:rFonts w:ascii="Arial" w:cs="Arial" w:eastAsia="Arial" w:hAnsi="Arial"/>
          <w:sz w:val="16"/>
          <w:szCs w:val="16"/>
          <w:color w:val="auto"/>
        </w:rPr>
        <w:t>“(m) Indebtedness or Guarantees incurred in the ordinary course of business in connection with cash pooling, netting and cash management arrangements consisting of overdrafts or similar arrangements, provided that any such Indebtedness is owed to the financial institutions providing such arrangements and such Indebtedness is extinguished in accordance with the terms of such arrangement;”</w:t>
      </w:r>
    </w:p>
    <w:p>
      <w:pPr>
        <w:spacing w:after="0" w:line="149" w:lineRule="exact"/>
        <w:rPr>
          <w:sz w:val="20"/>
          <w:szCs w:val="20"/>
          <w:color w:val="auto"/>
        </w:rPr>
      </w:pPr>
    </w:p>
    <w:p>
      <w:pPr>
        <w:ind w:left="2060" w:hanging="756"/>
        <w:spacing w:after="0"/>
        <w:tabs>
          <w:tab w:leader="none" w:pos="2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Section 6.07(c) of the Credit Agreement is hereby amended and restated in its entirety to read as follows:</w:t>
      </w:r>
    </w:p>
    <w:p>
      <w:pPr>
        <w:spacing w:after="0" w:line="225" w:lineRule="exact"/>
        <w:rPr>
          <w:sz w:val="20"/>
          <w:szCs w:val="20"/>
          <w:color w:val="auto"/>
        </w:rPr>
      </w:pPr>
    </w:p>
    <w:p>
      <w:pPr>
        <w:jc w:val="both"/>
        <w:ind w:left="1960"/>
        <w:spacing w:after="0" w:line="263" w:lineRule="auto"/>
        <w:rPr>
          <w:sz w:val="20"/>
          <w:szCs w:val="20"/>
          <w:color w:val="auto"/>
        </w:rPr>
      </w:pPr>
      <w:r>
        <w:rPr>
          <w:rFonts w:ascii="Arial" w:cs="Arial" w:eastAsia="Arial" w:hAnsi="Arial"/>
          <w:sz w:val="18"/>
          <w:szCs w:val="18"/>
          <w:color w:val="auto"/>
        </w:rPr>
        <w:t>“(c) Restricted Payments paid in cash to shareholders of the Borrower, whether in connection with a share buyback plan or otherwise in an amount not to exceed $125,000,000 for any calendar year, so long as no Event of Default has occurred and is continuing;”</w:t>
      </w:r>
    </w:p>
    <w:p>
      <w:pPr>
        <w:spacing w:after="0" w:line="184"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Borrower and the other Loan Parties hereby represent and warrant on the Third Amendment Effective Date that:</w:t>
      </w:r>
    </w:p>
    <w:p>
      <w:pPr>
        <w:spacing w:after="0" w:line="170" w:lineRule="exact"/>
        <w:rPr>
          <w:sz w:val="20"/>
          <w:szCs w:val="20"/>
          <w:color w:val="auto"/>
        </w:rPr>
      </w:pPr>
    </w:p>
    <w:p>
      <w:pPr>
        <w:jc w:val="both"/>
        <w:ind w:firstLine="1304"/>
        <w:spacing w:after="0" w:line="263" w:lineRule="auto"/>
        <w:tabs>
          <w:tab w:leader="none" w:pos="20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execution, delivery and performance by the Loan Parties of the Third Amendment is within each Loan Party’s corporate or limited liability company powers, as the case may be, and have been duly authorized by all necessary corporate or limited liability company and, if required, stockholder or member action.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jc w:val="both"/>
        <w:ind w:firstLine="1304"/>
        <w:spacing w:after="0" w:line="259" w:lineRule="auto"/>
        <w:tabs>
          <w:tab w:leader="none" w:pos="218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Third Amendment has been duly executed and delivered by the Loan Parties and constitutes a legal, valid and binding obligation of each Loan Party, enforceable against each Loan Party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6" w:lineRule="exact"/>
        <w:rPr>
          <w:rFonts w:ascii="Arial" w:cs="Arial" w:eastAsia="Arial" w:hAnsi="Arial"/>
          <w:sz w:val="18"/>
          <w:szCs w:val="18"/>
          <w:color w:val="auto"/>
        </w:rPr>
      </w:pPr>
    </w:p>
    <w:p>
      <w:pPr>
        <w:jc w:val="both"/>
        <w:ind w:firstLine="1304"/>
        <w:spacing w:after="0" w:line="287" w:lineRule="auto"/>
        <w:tabs>
          <w:tab w:leader="none" w:pos="2049" w:val="left"/>
        </w:tabs>
        <w:numPr>
          <w:ilvl w:val="1"/>
          <w:numId w:val="6"/>
        </w:numPr>
        <w:rPr>
          <w:rFonts w:ascii="Arial" w:cs="Arial" w:eastAsia="Arial" w:hAnsi="Arial"/>
          <w:sz w:val="16"/>
          <w:szCs w:val="16"/>
          <w:color w:val="auto"/>
        </w:rPr>
      </w:pPr>
      <w:r>
        <w:rPr>
          <w:rFonts w:ascii="Arial" w:cs="Arial" w:eastAsia="Arial" w:hAnsi="Arial"/>
          <w:sz w:val="16"/>
          <w:szCs w:val="16"/>
          <w:color w:val="auto"/>
        </w:rPr>
        <w:t>The execution, delivery and performance by the Loan Parties of the Third Amendment (i) do not, on the part of any Loan Party or any of its Subsidiaries, require any consent or approval of, registration or filing with, or any other action by, any Governmental Authority, except such as have been obtained or made and are in full force and effect and except for filings necessary to perfect Liens created pursuant to the Loan Documents,</w:t>
      </w:r>
    </w:p>
    <w:p>
      <w:pPr>
        <w:spacing w:after="0" w:line="2" w:lineRule="exact"/>
        <w:rPr>
          <w:rFonts w:ascii="Arial" w:cs="Arial" w:eastAsia="Arial" w:hAnsi="Arial"/>
          <w:sz w:val="16"/>
          <w:szCs w:val="16"/>
          <w:color w:val="auto"/>
        </w:rPr>
      </w:pPr>
    </w:p>
    <w:p>
      <w:pPr>
        <w:jc w:val="both"/>
        <w:ind w:firstLine="8"/>
        <w:spacing w:after="0" w:line="270" w:lineRule="auto"/>
        <w:tabs>
          <w:tab w:leader="none" w:pos="268"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will not violate any Requirement of Law applicable to any Loan Party or any of its Subsidiaries any order of any Governmental Authority, (iii) will not violate or result in a default under, or give rise to a right to require any payment to be made by any Loan Party or any of its Subsidiaries under, (A) any indenture or loan agreement, in each case, evidencing Indebtedness in excess of $2 million, (B) any Swap Agreement or (C) any other material agreement, in each case which is binding upon any Loan Party or any of its Subsidiaries or its assets, and (iv) will not result in the creation or imposition of any Lien on any asset of any Loan Party or any of its Subsidiaries, except Liens created pursuant to the Loan Documents, in each case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or (iii)(C), except as would not reasonably be expected to result in a Material Adverse Effect.</w:t>
      </w:r>
    </w:p>
    <w:p>
      <w:pPr>
        <w:spacing w:after="0" w:line="178" w:lineRule="exact"/>
        <w:rPr>
          <w:rFonts w:ascii="Arial" w:cs="Arial" w:eastAsia="Arial" w:hAnsi="Arial"/>
          <w:sz w:val="17"/>
          <w:szCs w:val="17"/>
          <w:color w:val="auto"/>
        </w:rPr>
      </w:pPr>
    </w:p>
    <w:p>
      <w:pPr>
        <w:ind w:left="2080" w:hanging="776"/>
        <w:spacing w:after="0"/>
        <w:tabs>
          <w:tab w:leader="none" w:pos="2080" w:val="left"/>
        </w:tabs>
        <w:numPr>
          <w:ilvl w:val="1"/>
          <w:numId w:val="7"/>
        </w:numPr>
        <w:rPr>
          <w:rFonts w:ascii="Arial" w:cs="Arial" w:eastAsia="Arial" w:hAnsi="Arial"/>
          <w:sz w:val="16"/>
          <w:szCs w:val="16"/>
          <w:color w:val="auto"/>
        </w:rPr>
      </w:pPr>
      <w:r>
        <w:rPr>
          <w:rFonts w:ascii="Arial" w:cs="Arial" w:eastAsia="Arial" w:hAnsi="Arial"/>
          <w:sz w:val="16"/>
          <w:szCs w:val="16"/>
          <w:color w:val="auto"/>
        </w:rPr>
        <w:t>At the time of and immediately after the Third Amendment Effective Date, no Default or Event of Default has occurred and 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continuing.</w:t>
      </w:r>
    </w:p>
    <w:p>
      <w:pPr>
        <w:spacing w:after="0" w:line="210" w:lineRule="exact"/>
        <w:rPr>
          <w:rFonts w:ascii="Arial" w:cs="Arial" w:eastAsia="Arial" w:hAnsi="Arial"/>
          <w:sz w:val="16"/>
          <w:szCs w:val="16"/>
          <w:color w:val="auto"/>
        </w:rPr>
      </w:pPr>
    </w:p>
    <w:p>
      <w:pPr>
        <w:jc w:val="both"/>
        <w:ind w:firstLine="1304"/>
        <w:spacing w:after="0" w:line="301" w:lineRule="auto"/>
        <w:tabs>
          <w:tab w:leader="none" w:pos="2062"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representations and warranties of each Loan Party set forth in the Credit Agreement and in each other Loan Document are true and correct in all material respects with the same effect as though made on and as of such date, except that (i) to the extent that such representations and warranties specifically refer to an earlier date, such representations and warranties are true and correct in all material respects as of such earlier date and (ii) any representation and warranty that is qualified as to “materiality” or “Material Adverse Effect” is true and correct in all respects.</w:t>
      </w:r>
    </w:p>
    <w:p>
      <w:pPr>
        <w:spacing w:after="0" w:line="157"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Conditions of Effectiveness of the Third Amendment</w:t>
      </w:r>
      <w:r>
        <w:rPr>
          <w:rFonts w:ascii="Arial" w:cs="Arial" w:eastAsia="Arial" w:hAnsi="Arial"/>
          <w:sz w:val="18"/>
          <w:szCs w:val="18"/>
          <w:color w:val="auto"/>
        </w:rPr>
        <w:t>. This Third Amendment shall become effective as of the date on which the following conditions shall have been satisfied (or waived) (the “</w:t>
      </w:r>
      <w:r>
        <w:rPr>
          <w:rFonts w:ascii="Arial" w:cs="Arial" w:eastAsia="Arial" w:hAnsi="Arial"/>
          <w:sz w:val="18"/>
          <w:szCs w:val="18"/>
          <w:u w:val="single" w:color="auto"/>
          <w:color w:val="auto"/>
        </w:rPr>
        <w:t>Third Amendment Effective Date</w:t>
      </w:r>
      <w:r>
        <w:rPr>
          <w:rFonts w:ascii="Arial" w:cs="Arial" w:eastAsia="Arial" w:hAnsi="Arial"/>
          <w:sz w:val="18"/>
          <w:szCs w:val="18"/>
          <w:color w:val="auto"/>
        </w:rPr>
        <w:t>”):</w:t>
      </w:r>
    </w:p>
    <w:p>
      <w:pPr>
        <w:spacing w:after="0" w:line="170" w:lineRule="exact"/>
        <w:rPr>
          <w:sz w:val="20"/>
          <w:szCs w:val="20"/>
          <w:color w:val="auto"/>
        </w:rPr>
      </w:pPr>
    </w:p>
    <w:p>
      <w:pPr>
        <w:ind w:right="20" w:firstLine="1304"/>
        <w:spacing w:after="0" w:line="277" w:lineRule="auto"/>
        <w:tabs>
          <w:tab w:leader="none" w:pos="211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Administrative Agent (or its counsel) shall have received counterparts to this Third Amendment, duly executed by (i) the Borrower and the other Loan Parties and (ii) the Lenders constituting Required Lenders;</w:t>
      </w:r>
    </w:p>
    <w:p>
      <w:pPr>
        <w:spacing w:after="0" w:line="170" w:lineRule="exact"/>
        <w:rPr>
          <w:rFonts w:ascii="Arial" w:cs="Arial" w:eastAsia="Arial" w:hAnsi="Arial"/>
          <w:sz w:val="18"/>
          <w:szCs w:val="18"/>
          <w:color w:val="auto"/>
        </w:rPr>
      </w:pPr>
    </w:p>
    <w:p>
      <w:pPr>
        <w:ind w:left="2100" w:hanging="796"/>
        <w:spacing w:after="0"/>
        <w:tabs>
          <w:tab w:leader="none" w:pos="21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at the time of and immediately after the Third Amendment Effective Date, no Default or Event of Default shall have occurred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be continuing; and</w:t>
      </w:r>
    </w:p>
    <w:p>
      <w:pPr>
        <w:spacing w:after="0" w:line="210" w:lineRule="exact"/>
        <w:rPr>
          <w:rFonts w:ascii="Arial" w:cs="Arial" w:eastAsia="Arial" w:hAnsi="Arial"/>
          <w:sz w:val="16"/>
          <w:szCs w:val="16"/>
          <w:color w:val="auto"/>
        </w:rPr>
      </w:pPr>
    </w:p>
    <w:p>
      <w:pPr>
        <w:jc w:val="both"/>
        <w:ind w:firstLine="1304"/>
        <w:spacing w:after="0" w:line="257" w:lineRule="auto"/>
        <w:tabs>
          <w:tab w:leader="none" w:pos="203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representations and warranties of each Loan Party set forth in the Credit Agreement and in each other Loan Document shall be true and correct in all material respects on and as of the Third Amendment Effective Date with the same effect as though made on and as of such date, except that (i) to the extent that such representations and warranties specifically refer to an earlier date, such representations and warranties shall be true and correct in all material respects as of such earlier date and (ii) any representation and warranty that is qualified as to “materiality” or “Material Adverse Effect” shall be true and correct in all respects.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ind w:left="130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Reference to and Effect on the Credit Agreement and the other Loan Documents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63" w:lineRule="auto"/>
        <w:tabs>
          <w:tab w:leader="none" w:pos="2089"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and after the Third Amendment Effective Date, each reference in the Credit Agreement to “this Agreement,” “hereunder,” “hereof” or words of like import referring to the Credit Agreement shall mean and be a reference to the Credit Agreement, as amended by this Third Amendment.</w:t>
      </w:r>
    </w:p>
    <w:p>
      <w:pPr>
        <w:spacing w:after="0" w:line="183" w:lineRule="exact"/>
        <w:rPr>
          <w:rFonts w:ascii="Arial" w:cs="Arial" w:eastAsia="Arial" w:hAnsi="Arial"/>
          <w:sz w:val="18"/>
          <w:szCs w:val="18"/>
          <w:color w:val="auto"/>
        </w:rPr>
      </w:pPr>
    </w:p>
    <w:p>
      <w:pPr>
        <w:ind w:firstLine="1304"/>
        <w:spacing w:after="0" w:line="277" w:lineRule="auto"/>
        <w:tabs>
          <w:tab w:leader="none" w:pos="204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Credit Agreement and each of the other Loan Documents, as specifically amended by this Third Amendment, are and shall continue to be in full force and effect and are hereby in all respects ratified and confirmed.</w:t>
      </w:r>
    </w:p>
    <w:p>
      <w:pPr>
        <w:spacing w:after="0" w:line="170" w:lineRule="exact"/>
        <w:rPr>
          <w:rFonts w:ascii="Arial" w:cs="Arial" w:eastAsia="Arial" w:hAnsi="Arial"/>
          <w:sz w:val="18"/>
          <w:szCs w:val="18"/>
          <w:color w:val="auto"/>
        </w:rPr>
      </w:pPr>
    </w:p>
    <w:p>
      <w:pPr>
        <w:jc w:val="both"/>
        <w:ind w:firstLine="1304"/>
        <w:spacing w:after="0" w:line="259" w:lineRule="auto"/>
        <w:tabs>
          <w:tab w:leader="none" w:pos="206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execution, delivery and effectiveness of this Third Amendment shall not, except as expressly provided herein, operate as a waiver of any right, power or remedy of any Lender or the Administrative Agent under any of the Loan Documents, nor constitute a waiver of any provision of any of the Loan Documents. On and after the Third Amendment Effective Date, this Third Amendment shall for all purposes constitute a Loan Document.</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224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Third Amendment shall not extinguish the Loans or any other Obligations outstanding under the Credit Agreement. Nothing contained herein shall be construed as a substitution or novation of the Loans or any other Obligations outstanding under the Credit Agreement, which shall remain outstanding after the Third Amendment Effective Date as modified hereby.</w:t>
      </w:r>
    </w:p>
    <w:p>
      <w:pPr>
        <w:spacing w:after="0" w:line="183" w:lineRule="exact"/>
        <w:rPr>
          <w:rFonts w:ascii="Arial" w:cs="Arial" w:eastAsia="Arial" w:hAnsi="Arial"/>
          <w:sz w:val="18"/>
          <w:szCs w:val="18"/>
          <w:color w:val="auto"/>
        </w:rPr>
      </w:pPr>
    </w:p>
    <w:p>
      <w:pPr>
        <w:jc w:val="both"/>
        <w:ind w:firstLine="1304"/>
        <w:spacing w:after="0" w:line="254" w:lineRule="auto"/>
        <w:tabs>
          <w:tab w:leader="none" w:pos="206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Borrower expressly acknowledges and agrees that (i) there has not been, and this Third Amendment does not constitute or establish, a novation with respect to the Credit Agreement or any other Loan Document, or a mutual departure from the strict terms, provisions, and conditions thereof and (ii) nothing in this Third Amendment shall affect or limit the Administrative Agent’s or Lenders’ right to demand payment of liabilities owing from Borrower to Administrative Agent or the Lenders under, or to demand strict performance of the terms, provisions and conditions of, the Credit Agreement and the other Loan Documents, to exercise any and all rights, powers, and remedies under the Credit Agreement or the other Loan Documents or at law or in equity, or to do any and all of the foregoing, immediately at any time after the occurrence and continuance of an Event of Default under the Credit Agreement or the other Loan Documents.</w:t>
      </w:r>
    </w:p>
    <w:p>
      <w:pPr>
        <w:spacing w:after="0" w:line="19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Reaffirmation</w:t>
      </w:r>
      <w:r>
        <w:rPr>
          <w:rFonts w:ascii="Arial" w:cs="Arial" w:eastAsia="Arial" w:hAnsi="Arial"/>
          <w:sz w:val="16"/>
          <w:szCs w:val="16"/>
          <w:color w:val="auto"/>
        </w:rPr>
        <w:t>. Each of the Borrower and each other Loan Party hereby (a) reaffirms its obligations under the Credit Agreement and each other Loan Document to which it is a party, in each case as amended by this Third Amendment, (b) reaffirms all Liens on the Collateral which have been granted by it in favor of the Administrative Agent (for the benefit of the Secured Parties) pursuant to the Loan Documents and</w:t>
      </w:r>
    </w:p>
    <w:p>
      <w:pPr>
        <w:spacing w:after="0" w:line="2" w:lineRule="exact"/>
        <w:rPr>
          <w:sz w:val="20"/>
          <w:szCs w:val="20"/>
          <w:color w:val="auto"/>
        </w:rPr>
      </w:pPr>
    </w:p>
    <w:p>
      <w:pPr>
        <w:ind w:firstLine="8"/>
        <w:spacing w:after="0" w:line="260" w:lineRule="auto"/>
        <w:tabs>
          <w:tab w:leader="none" w:pos="251"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acknowledges and agrees that the grants of security interests by and the guarantees of the Loan Parties contained in the Loan Documents are, and shall remain, in full force and effect immediately after giving effect to this Third Amendment.</w:t>
      </w:r>
    </w:p>
    <w:p>
      <w:pPr>
        <w:spacing w:after="0" w:line="18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Costs and Expenses</w:t>
      </w:r>
      <w:r>
        <w:rPr>
          <w:rFonts w:ascii="Arial" w:cs="Arial" w:eastAsia="Arial" w:hAnsi="Arial"/>
          <w:sz w:val="18"/>
          <w:szCs w:val="18"/>
          <w:color w:val="auto"/>
        </w:rPr>
        <w:t>. The Borrower hereby agrees to pay or reimburse the Administrative Agent for its reasonable and documented out-of-pocket costs and expenses incurred in connection with this Third Amendment in accordance with, and to the extent required by, the terms and conditions of Section 9.03 of the Credit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jc w:val="both"/>
        <w:ind w:firstLine="1296"/>
        <w:spacing w:after="0" w:line="253"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 This Third Amendment may be executed in counterparts (and by different parties hereto on different counterparts), each of which shall constitute an original, but all of which when taken together shall constitute a single contract. Delivery of an executed counterpart of a signature page of this Third Amendment by telecopy, emailed .pdf or any other electronic means that reproduces an image of the actual executed signature page shall be effective as delivery of a manually executed counterpart of this Third Amendment. The words “execution,” “signed,” “signature,” “delivery,” and words of like import in or relating to any document to be signed in connection with this Third Amendment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225" w:lineRule="exact"/>
        <w:rPr>
          <w:sz w:val="20"/>
          <w:szCs w:val="20"/>
          <w:color w:val="auto"/>
        </w:rPr>
      </w:pPr>
    </w:p>
    <w:p>
      <w:pPr>
        <w:ind w:left="2040" w:hanging="736"/>
        <w:spacing w:after="0"/>
        <w:tabs>
          <w:tab w:leader="none" w:pos="2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Third Amendment shall be governed by and construed in accordance with the laws of the State of New York</w:t>
      </w:r>
    </w:p>
    <w:p>
      <w:pPr>
        <w:spacing w:after="0" w:line="225" w:lineRule="exact"/>
        <w:rPr>
          <w:rFonts w:ascii="Arial" w:cs="Arial" w:eastAsia="Arial" w:hAnsi="Arial"/>
          <w:sz w:val="18"/>
          <w:szCs w:val="18"/>
          <w:color w:val="auto"/>
        </w:rPr>
      </w:pPr>
    </w:p>
    <w:p>
      <w:pPr>
        <w:jc w:val="both"/>
        <w:ind w:firstLine="1304"/>
        <w:spacing w:after="0" w:line="271" w:lineRule="auto"/>
        <w:tabs>
          <w:tab w:leader="none" w:pos="2059" w:val="left"/>
        </w:tabs>
        <w:numPr>
          <w:ilvl w:val="0"/>
          <w:numId w:val="11"/>
        </w:numPr>
        <w:rPr>
          <w:rFonts w:ascii="Arial" w:cs="Arial" w:eastAsia="Arial" w:hAnsi="Arial"/>
          <w:sz w:val="17"/>
          <w:szCs w:val="17"/>
          <w:color w:val="auto"/>
        </w:rPr>
      </w:pPr>
      <w:r>
        <w:rPr>
          <w:rFonts w:ascii="Arial" w:cs="Arial" w:eastAsia="Arial" w:hAnsi="Arial"/>
          <w:sz w:val="17"/>
          <w:szCs w:val="17"/>
          <w:color w:val="auto"/>
        </w:rPr>
        <w:t>Each Loan Party hereby irrevocably and unconditionally submits, for itself and its property, to the exclusive jurisdiction of any U.S. Federal or New York State court sitting in New York, New York in any action or proceeding arising out of or relating to this Third Amendment or the transactions contemplated hereby,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Third Amendment shall affect any right that the Administrative Agent or any Lender may otherwise have to bring any action or proceeding relating to this Third Amendment or the transactions contemplated hereby against any Loan Party or its properties in the courts of any jurisdiction.</w:t>
      </w:r>
    </w:p>
    <w:p>
      <w:pPr>
        <w:spacing w:after="0" w:line="178" w:lineRule="exact"/>
        <w:rPr>
          <w:rFonts w:ascii="Arial" w:cs="Arial" w:eastAsia="Arial" w:hAnsi="Arial"/>
          <w:sz w:val="17"/>
          <w:szCs w:val="17"/>
          <w:color w:val="auto"/>
        </w:rPr>
      </w:pPr>
    </w:p>
    <w:p>
      <w:pPr>
        <w:jc w:val="both"/>
        <w:ind w:firstLine="1304"/>
        <w:spacing w:after="0" w:line="301" w:lineRule="auto"/>
        <w:tabs>
          <w:tab w:leader="none" w:pos="2089"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Each Loan Party hereby irrevocably and unconditionally waives, to the fullest extent it may legally and effectively do so, any objection which it may now or hereafter have to the laying of venue of any suit, action or proceeding arising out of or relating to this Third Amendment and the transactions contemplated hereby in any court referred to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8</w:t>
      </w:r>
      <w:r>
        <w:rPr>
          <w:rFonts w:ascii="Arial" w:cs="Arial" w:eastAsia="Arial" w:hAnsi="Arial"/>
          <w:sz w:val="16"/>
          <w:szCs w:val="16"/>
          <w:color w:val="auto"/>
        </w:rPr>
        <w:t>. Each of the parties hereto hereby irrevocably waives, to the fullest extent permitted by law, the defense of an inconvenient forum to the maintenance of such action or proceeding in any such court.</w:t>
      </w:r>
    </w:p>
    <w:p>
      <w:pPr>
        <w:spacing w:after="0" w:line="157"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xml:space="preserve">. EACH PARTY HERETO HEREBY WAIVES, TO THE FULLEST EXTENT PERMITTED BY APPLICABLE LAW, ANY RIGHT IT MAY HAVE TO A TRIAL BY JURY IN ANY LEGAL PROCEEDING DIRECTLY OR INDIRECTLY ARISING OUT OF OR RELATING TO THIS THIRD AMENDMENT OR THE TRANSACTIONS CONTEMPLATED HEREBY (WHETHER BASED ON CONTRACT, TORT OR ANY OTHER THEORY). EACH PARTY HERETO (A) CERTIFIES THAT NO REPRESENTATIVE, OTHER AGENT (INCLUDING ANY ATTORNEY) OF ANY OTHER PARTY HAS REPRESENTED, EXPRESSLY OR OTHERWISE, THAT SUCH OTHER PARTY WOULD NOT, IN THE EVENT OF LITIGATION, SEEK TO ENFORCE THE FOREGOING WAIVER AND (B) ACKNOWLEDGES THAT IT AND THE OTHER PARTIES HERETO HAVE BEEN INDUCED TO ENTER INTO THIS THIRD AMENDMENT BY, AMONG OTHER THINGS, THE MUTUAL WAIVERS AND CERTIFICATIONS IN THIS </w:t>
      </w:r>
      <w:r>
        <w:rPr>
          <w:rFonts w:ascii="Arial" w:cs="Arial" w:eastAsia="Arial" w:hAnsi="Arial"/>
          <w:sz w:val="18"/>
          <w:szCs w:val="18"/>
          <w:u w:val="single" w:color="auto"/>
          <w:color w:val="auto"/>
        </w:rPr>
        <w:t>SECTION 9</w:t>
      </w:r>
      <w:r>
        <w:rPr>
          <w:rFonts w:ascii="Arial" w:cs="Arial" w:eastAsia="Arial" w:hAnsi="Arial"/>
          <w:sz w:val="18"/>
          <w:szCs w:val="18"/>
          <w:color w:val="auto"/>
        </w:rPr>
        <w:t>.</w:t>
      </w:r>
    </w:p>
    <w:p>
      <w:pPr>
        <w:spacing w:after="0" w:line="19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herein are included for convenience of reference only and shall not affect the interpretation of this Third Amendment.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ind w:firstLine="1296"/>
        <w:spacing w:after="0" w:line="277" w:lineRule="auto"/>
        <w:rPr>
          <w:sz w:val="20"/>
          <w:szCs w:val="20"/>
          <w:color w:val="auto"/>
        </w:rPr>
      </w:pPr>
      <w:r>
        <w:rPr>
          <w:rFonts w:ascii="Arial" w:cs="Arial" w:eastAsia="Arial" w:hAnsi="Arial"/>
          <w:sz w:val="18"/>
          <w:szCs w:val="18"/>
          <w:color w:val="auto"/>
        </w:rPr>
        <w:t>IN WITNESS WHEREOF, the parties hereto have caused this Third Amendment to be executed by their respective officers thereunto duly authorized, as of the date first above written.</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EXLSERVICE HOLDINGS, INC.</w:t>
      </w:r>
      <w:r>
        <w:rPr>
          <w:rFonts w:ascii="Arial" w:cs="Arial" w:eastAsia="Arial" w:hAnsi="Arial"/>
          <w:sz w:val="18"/>
          <w:szCs w:val="18"/>
          <w:color w:val="auto"/>
        </w:rPr>
        <w:t>,</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Maurizio Nicolelli</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CFO</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EXLSERVICE.COM, LLC</w:t>
      </w:r>
      <w:r>
        <w:rPr>
          <w:rFonts w:ascii="Arial" w:cs="Arial" w:eastAsia="Arial" w:hAnsi="Arial"/>
          <w:sz w:val="18"/>
          <w:szCs w:val="18"/>
          <w:color w:val="auto"/>
        </w:rPr>
        <w:t>,</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a Loan Guarantor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Maurizio Nicolelli</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CFO</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EXLSERVICE TECHNOLOGY SOLUTIONS, LLC</w:t>
      </w:r>
      <w:r>
        <w:rPr>
          <w:rFonts w:ascii="Arial" w:cs="Arial" w:eastAsia="Arial" w:hAnsi="Arial"/>
          <w:sz w:val="18"/>
          <w:szCs w:val="18"/>
          <w:color w:val="auto"/>
        </w:rPr>
        <w:t>,</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a Loan Guarantor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Maurizio Nicolelli</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CFO</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BUSINESS PROCESS OUTSOURCING, LLC</w:t>
      </w:r>
      <w:r>
        <w:rPr>
          <w:rFonts w:ascii="Arial" w:cs="Arial" w:eastAsia="Arial" w:hAnsi="Arial"/>
          <w:sz w:val="18"/>
          <w:szCs w:val="18"/>
          <w:color w:val="auto"/>
        </w:rPr>
        <w:t>,</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a Loan Guarantor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Maurizio Nicolelli</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CFO</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OUTSOURCE PARTNERS INTERNATIONAL INC.</w:t>
      </w:r>
      <w:r>
        <w:rPr>
          <w:rFonts w:ascii="Arial" w:cs="Arial" w:eastAsia="Arial" w:hAnsi="Arial"/>
          <w:sz w:val="18"/>
          <w:szCs w:val="18"/>
          <w:color w:val="auto"/>
        </w:rPr>
        <w:t>,</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a Loan Guarantor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Maurizio Nicolelli</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CFO</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OVERLAND SOLUTIONS, LLC</w:t>
      </w:r>
      <w:r>
        <w:rPr>
          <w:rFonts w:ascii="Arial" w:cs="Arial" w:eastAsia="Arial" w:hAnsi="Arial"/>
          <w:sz w:val="18"/>
          <w:szCs w:val="18"/>
          <w:color w:val="auto"/>
        </w:rPr>
        <w:t>,</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a Loan Guarantor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Maurizio Nicolelli</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CFO</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Third Amendment to Credit Agreement (EXL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ind w:left="4520"/>
        <w:spacing w:after="0"/>
        <w:rPr>
          <w:sz w:val="20"/>
          <w:szCs w:val="20"/>
          <w:color w:val="auto"/>
        </w:rPr>
      </w:pPr>
      <w:r>
        <w:rPr>
          <w:rFonts w:ascii="Arial" w:cs="Arial" w:eastAsia="Arial" w:hAnsi="Arial"/>
          <w:sz w:val="18"/>
          <w:szCs w:val="18"/>
          <w:b w:val="1"/>
          <w:bCs w:val="1"/>
          <w:color w:val="auto"/>
        </w:rPr>
        <w:t>CITIBANK, N.A.</w:t>
      </w:r>
      <w:r>
        <w:rPr>
          <w:rFonts w:ascii="Arial" w:cs="Arial" w:eastAsia="Arial" w:hAnsi="Arial"/>
          <w:sz w:val="18"/>
          <w:szCs w:val="18"/>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individually as a Lender and as Administrative Agent</w:t>
      </w:r>
    </w:p>
    <w:p>
      <w:pPr>
        <w:spacing w:after="0" w:line="200" w:lineRule="exact"/>
        <w:rPr>
          <w:sz w:val="20"/>
          <w:szCs w:val="20"/>
          <w:color w:val="auto"/>
        </w:rPr>
      </w:pPr>
    </w:p>
    <w:p>
      <w:pPr>
        <w:spacing w:after="0" w:line="25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LINDA TAM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Linda Tam</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Senior Vice President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Third Amendment to Credit Agreement (EXL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320675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9" w:name="page10"/>
    <w:bookmarkEnd w:id="9"/>
    <w:p>
      <w:pPr>
        <w:ind w:left="4520"/>
        <w:spacing w:after="0"/>
        <w:rPr>
          <w:sz w:val="20"/>
          <w:szCs w:val="20"/>
          <w:color w:val="auto"/>
        </w:rPr>
      </w:pPr>
      <w:r>
        <w:rPr>
          <w:rFonts w:ascii="Arial" w:cs="Arial" w:eastAsia="Arial" w:hAnsi="Arial"/>
          <w:sz w:val="18"/>
          <w:szCs w:val="18"/>
          <w:b w:val="1"/>
          <w:bCs w:val="1"/>
          <w:color w:val="auto"/>
        </w:rPr>
        <w:t>PNC BANK, N.A.</w:t>
      </w:r>
      <w:r>
        <w:rPr>
          <w:rFonts w:ascii="Arial" w:cs="Arial" w:eastAsia="Arial" w:hAnsi="Arial"/>
          <w:sz w:val="18"/>
          <w:szCs w:val="18"/>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MICHAEL RICHARDS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Michael Richards</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SVP &amp; Managing Director</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Third Amendment to Credit Agreement (EXL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320675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10" w:name="page11"/>
    <w:bookmarkEnd w:id="10"/>
    <w:p>
      <w:pPr>
        <w:ind w:left="4520"/>
        <w:spacing w:after="0"/>
        <w:rPr>
          <w:sz w:val="20"/>
          <w:szCs w:val="20"/>
          <w:color w:val="auto"/>
        </w:rPr>
      </w:pPr>
      <w:r>
        <w:rPr>
          <w:rFonts w:ascii="Arial" w:cs="Arial" w:eastAsia="Arial" w:hAnsi="Arial"/>
          <w:sz w:val="18"/>
          <w:szCs w:val="18"/>
          <w:b w:val="1"/>
          <w:bCs w:val="1"/>
          <w:color w:val="auto"/>
        </w:rPr>
        <w:t>JPMORGAN CHASE BANK, NA</w:t>
      </w:r>
      <w:r>
        <w:rPr>
          <w:rFonts w:ascii="Arial" w:cs="Arial" w:eastAsia="Arial" w:hAnsi="Arial"/>
          <w:sz w:val="18"/>
          <w:szCs w:val="18"/>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GINA FRANCESCHINI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Gina Franceschini</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Authorized Officer</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Third Amendment to Credit Agreement (EXL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320675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11" w:name="page12"/>
    <w:bookmarkEnd w:id="11"/>
    <w:p>
      <w:pPr>
        <w:ind w:left="452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JANA L.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Jana L. Baker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Senior Vice President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Third Amendment to Credit Agreement (EXL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320675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12" w:name="page13"/>
    <w:bookmarkEnd w:id="12"/>
    <w:p>
      <w:pPr>
        <w:ind w:left="4520"/>
        <w:spacing w:after="0"/>
        <w:rPr>
          <w:sz w:val="20"/>
          <w:szCs w:val="20"/>
          <w:color w:val="auto"/>
        </w:rPr>
      </w:pPr>
      <w:r>
        <w:rPr>
          <w:rFonts w:ascii="Arial" w:cs="Arial" w:eastAsia="Arial" w:hAnsi="Arial"/>
          <w:sz w:val="18"/>
          <w:szCs w:val="18"/>
          <w:b w:val="1"/>
          <w:bCs w:val="1"/>
          <w:color w:val="auto"/>
        </w:rPr>
        <w:t>TD BANK, N.A.</w:t>
      </w:r>
      <w:r>
        <w:rPr>
          <w:rFonts w:ascii="Arial" w:cs="Arial" w:eastAsia="Arial" w:hAnsi="Arial"/>
          <w:sz w:val="18"/>
          <w:szCs w:val="18"/>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STEVE LEVI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Steve Levi</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Third Amendment to Credit Agreement (EXL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13" w:name="page14"/>
    <w:bookmarkEnd w:id="13"/>
    <w:p>
      <w:pPr>
        <w:ind w:left="10160"/>
        <w:spacing w:after="0"/>
        <w:rPr>
          <w:sz w:val="20"/>
          <w:szCs w:val="20"/>
          <w:color w:val="auto"/>
        </w:rPr>
      </w:pPr>
      <w:r>
        <w:rPr>
          <w:rFonts w:ascii="Arial" w:cs="Arial" w:eastAsia="Arial" w:hAnsi="Arial"/>
          <w:sz w:val="17"/>
          <w:szCs w:val="17"/>
          <w:color w:val="auto"/>
        </w:rPr>
        <w:t>EXHIBIT 99.1</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EXL Announces Retirement of Pavan Bagai as President and Chief Operating Officer</w:t>
      </w:r>
    </w:p>
    <w:p>
      <w:pPr>
        <w:spacing w:after="0" w:line="16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NEW YORK, April 19, 2021 </w:t>
      </w:r>
      <w:r>
        <w:rPr>
          <w:rFonts w:ascii="Arial" w:cs="Arial" w:eastAsia="Arial" w:hAnsi="Arial"/>
          <w:sz w:val="18"/>
          <w:szCs w:val="18"/>
          <w:color w:val="auto"/>
        </w:rPr>
        <w:t>— EXL (NASDAQ: EXLS), a leading Operations Management and Analytics company, today announced that Pavan Bagai,</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and Chief Operating Officer, will retire from the company effective as of October 1, 2021. Mr. Bagai’s responsibilities will be transitioned in an orderly manner to other members of EXL’s executive team over the course of the next several months.</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Rohit Kapoor, Vice Chairman and Chief Executive Officer, said, “Pavan has been an architect of EXL as well as a mentor and friend of many within the company, including myself. He has been a great partner for me in building the organization into what it is today. Pavan’s career with EXL mirrors the company’s own growth. His leadership established the foundation of our operations management business, his guidance helped develop the Analytics business, and it is his insight that has enabled our shift to digital. In addition to guiding EXL to success, Pavan has been instrumental in navigating the company through every challenge it has faced, including most recently the COVID-19 pandemic. Above all, nurturing the ‘soul of EXL’ was always on Pavan’s mind, and he will leave an indelible mark on the organization and each of us. I am happy that Pavan will now be able to devote more time to his other passions. All of us at EXL will miss him, and we wish the best for him.”</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behalf of the Board and all of EXL, we thank Pavan for his 19 years of leadership and enormous contributions to the company,” commented Garen Staglin, Chairman of the Board. “Pavan’s dedication to our values, our customers, and our employees has inspired us all. We extend our sincere gratitude for his many years of service to EXL.”</w:t>
      </w:r>
    </w:p>
    <w:p>
      <w:pPr>
        <w:spacing w:after="0" w:line="18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Mr. Bagai said, “The decision to retire from EXL was not an easy one for me. For nearly two decades the growth of our company and its people has been my prime motivator and I am extremely proud of what we have accomplished together. My journey has been exciting, enjoyable and fulfilling. It has been a pleasure working with Rohit, the rest of the leadership team, and indeed all the employees of EXL. I leave knowing the company is the strongest it has ever been and stands well-positioned for the digital future. I look forward to watching its continued success.”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EXL (NASDAQ: EXLS) is a leading operations management and analytics company that helps our clients build and grow sustainable businesses. By orchestrating our domain expertise, data, analytics and digital technology, we look deeper to design and manage agile, customer-centric operating models to improve global operations, drive profitability, enhance customer satisfaction, increase data-driven insights, and manage risk and compliance. Headquartered in New York, EXL has approximately 31,900 professionals in locations throughout the United States, the United Kingdom, Europe, India, the Philippines, Colombia, Canada, Australia and South Africa. EXL serves customers in multiple industries including insurance, healthcare, banking and financial services, utilities, travel, transportation and logistics, media and retail, among others. For more information, visit </w:t>
      </w:r>
      <w:r>
        <w:rPr>
          <w:rFonts w:ascii="Arial" w:cs="Arial" w:eastAsia="Arial" w:hAnsi="Arial"/>
          <w:sz w:val="16"/>
          <w:szCs w:val="16"/>
          <w:u w:val="single" w:color="auto"/>
          <w:color w:val="0000FF"/>
        </w:rPr>
        <w:t>www.exlservice.com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This press release contains forward-looking statements. You should not place undue 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are discussed in more detail in EXL’s filings with the Securities and Exchange Commission, including EXL’s Annual Report on Form 10-K.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Sherrill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Marketing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646-419-0778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michael.sherrill@exlservice.com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Steven N. Barlow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917-596-7684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steven.barlow@exlservice.com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lowerLetter"/>
      <w:start w:val="1"/>
    </w:lvl>
  </w:abstractNum>
  <w:abstractNum w:abstractNumId="3">
    <w:nsid w:val="79E2A9E3"/>
    <w:multiLevelType w:val="hybridMultilevel"/>
    <w:lvl w:ilvl="0">
      <w:lvlJc w:val="left"/>
      <w:lvlText w:val="(%1)"/>
      <w:numFmt w:val="lowerLetter"/>
      <w:start w:val="2"/>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1"/>
    </w:lvl>
    <w:lvl w:ilvl="1">
      <w:lvlJc w:val="left"/>
      <w:lvlText w:val="(%2)"/>
      <w:numFmt w:val="lowerLetter"/>
      <w:start w:val="2"/>
    </w:lvl>
  </w:abstractNum>
  <w:abstractNum w:abstractNumId="6">
    <w:nsid w:val="5BD062C2"/>
    <w:multiLevelType w:val="hybridMultilevel"/>
    <w:lvl w:ilvl="0">
      <w:lvlJc w:val="left"/>
      <w:lvlText w:val="(%1)"/>
      <w:numFmt w:val="lowerLetter"/>
      <w:start w:val="35"/>
    </w:lvl>
    <w:lvl w:ilvl="1">
      <w:lvlJc w:val="left"/>
      <w:lvlText w:val="(%2)"/>
      <w:numFmt w:val="lowerLetter"/>
      <w:start w:val="4"/>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2021-04-19T15:14:16Z</dcterms:created>
  <dcterms:modified xsi:type="dcterms:W3CDTF">2021-04-19T15:14:16Z</dcterms:modified>
</cp:coreProperties>
</file>