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January 19, 2012.</w:t>
      </w:r>
    </w:p>
    <w:p>
      <w:pPr>
        <w:spacing w:after="0" w:line="50" w:lineRule="exact"/>
        <w:rPr>
          <w:sz w:val="24"/>
          <w:szCs w:val="24"/>
          <w:color w:val="auto"/>
        </w:rPr>
      </w:pPr>
    </w:p>
    <w:p>
      <w:pPr>
        <w:ind w:left="91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S-3</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w:t>
      </w:r>
    </w:p>
    <w:p>
      <w:pPr>
        <w:jc w:val="center"/>
        <w:ind w:right="-119"/>
        <w:spacing w:after="0"/>
        <w:rPr>
          <w:sz w:val="20"/>
          <w:szCs w:val="20"/>
          <w:color w:val="auto"/>
        </w:rPr>
      </w:pPr>
      <w:r>
        <w:rPr>
          <w:rFonts w:ascii="Arial" w:cs="Arial" w:eastAsia="Arial" w:hAnsi="Arial"/>
          <w:sz w:val="22"/>
          <w:szCs w:val="22"/>
          <w:b w:val="1"/>
          <w:bCs w:val="1"/>
          <w:color w:val="auto"/>
        </w:rPr>
        <w:t>THE SECURITIES ACT OF 1933</w:t>
      </w:r>
    </w:p>
    <w:p>
      <w:pPr>
        <w:spacing w:after="0" w:line="112"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6460" w:type="dxa"/>
            <w:vAlign w:val="bottom"/>
          </w:tcPr>
          <w:p>
            <w:pPr>
              <w:jc w:val="center"/>
              <w:ind w:right="2877"/>
              <w:spacing w:after="0"/>
              <w:rPr>
                <w:sz w:val="20"/>
                <w:szCs w:val="20"/>
                <w:color w:val="auto"/>
              </w:rPr>
            </w:pPr>
            <w:r>
              <w:rPr>
                <w:rFonts w:ascii="Arial" w:cs="Arial" w:eastAsia="Arial" w:hAnsi="Arial"/>
                <w:sz w:val="18"/>
                <w:szCs w:val="18"/>
                <w:b w:val="1"/>
                <w:bCs w:val="1"/>
                <w:color w:val="auto"/>
                <w:w w:val="88"/>
              </w:rPr>
              <w:t>Delaware</w:t>
            </w:r>
          </w:p>
        </w:tc>
        <w:tc>
          <w:tcPr>
            <w:tcW w:w="2140" w:type="dxa"/>
            <w:vAlign w:val="bottom"/>
          </w:tcPr>
          <w:p>
            <w:pPr>
              <w:jc w:val="right"/>
              <w:ind w:right="542"/>
              <w:spacing w:after="0"/>
              <w:rPr>
                <w:sz w:val="20"/>
                <w:szCs w:val="20"/>
                <w:color w:val="auto"/>
              </w:rPr>
            </w:pPr>
            <w:r>
              <w:rPr>
                <w:rFonts w:ascii="Arial" w:cs="Arial" w:eastAsia="Arial" w:hAnsi="Arial"/>
                <w:sz w:val="18"/>
                <w:szCs w:val="18"/>
                <w:b w:val="1"/>
                <w:bCs w:val="1"/>
                <w:color w:val="auto"/>
              </w:rPr>
              <w:t>82-0572194</w:t>
            </w:r>
          </w:p>
        </w:tc>
      </w:tr>
      <w:tr>
        <w:trPr>
          <w:trHeight w:val="174"/>
        </w:trPr>
        <w:tc>
          <w:tcPr>
            <w:tcW w:w="6460" w:type="dxa"/>
            <w:vAlign w:val="bottom"/>
          </w:tcPr>
          <w:p>
            <w:pPr>
              <w:jc w:val="center"/>
              <w:ind w:right="2897"/>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140" w:type="dxa"/>
            <w:vAlign w:val="bottom"/>
          </w:tcPr>
          <w:p>
            <w:pPr>
              <w:jc w:val="center"/>
              <w:ind w:left="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51"/>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280 Park Avenue, 38</w:t>
            </w:r>
            <w:r>
              <w:rPr>
                <w:rFonts w:ascii="Arial" w:cs="Arial" w:eastAsia="Arial" w:hAnsi="Arial"/>
                <w:sz w:val="11"/>
                <w:szCs w:val="11"/>
                <w:b w:val="1"/>
                <w:bCs w:val="1"/>
                <w:color w:val="auto"/>
                <w:w w:val="89"/>
              </w:rPr>
              <w:t>th</w:t>
            </w:r>
            <w:r>
              <w:rPr>
                <w:rFonts w:ascii="Arial" w:cs="Arial" w:eastAsia="Arial" w:hAnsi="Arial"/>
                <w:sz w:val="18"/>
                <w:szCs w:val="18"/>
                <w:b w:val="1"/>
                <w:bCs w:val="1"/>
                <w:color w:val="auto"/>
                <w:w w:val="89"/>
              </w:rPr>
              <w:t xml:space="preserve"> Floor</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New York, New York 10017</w:t>
            </w:r>
          </w:p>
        </w:tc>
        <w:tc>
          <w:tcPr>
            <w:tcW w:w="2140" w:type="dxa"/>
            <w:vAlign w:val="bottom"/>
          </w:tcPr>
          <w:p>
            <w:pPr>
              <w:spacing w:after="0"/>
              <w:rPr>
                <w:sz w:val="18"/>
                <w:szCs w:val="18"/>
                <w:color w:val="auto"/>
              </w:rPr>
            </w:pPr>
          </w:p>
        </w:tc>
      </w:tr>
      <w:tr>
        <w:trPr>
          <w:trHeight w:val="220"/>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277-7100</w:t>
            </w:r>
          </w:p>
        </w:tc>
        <w:tc>
          <w:tcPr>
            <w:tcW w:w="2140" w:type="dxa"/>
            <w:vAlign w:val="bottom"/>
          </w:tcPr>
          <w:p>
            <w:pPr>
              <w:spacing w:after="0"/>
              <w:rPr>
                <w:sz w:val="19"/>
                <w:szCs w:val="19"/>
                <w:color w:val="auto"/>
              </w:rPr>
            </w:pPr>
          </w:p>
        </w:tc>
      </w:tr>
      <w:tr>
        <w:trPr>
          <w:trHeight w:val="149"/>
        </w:trPr>
        <w:tc>
          <w:tcPr>
            <w:tcW w:w="6460" w:type="dxa"/>
            <w:vAlign w:val="bottom"/>
          </w:tcPr>
          <w:p>
            <w:pPr>
              <w:jc w:val="center"/>
              <w:ind w:left="2637"/>
              <w:spacing w:after="0" w:line="149" w:lineRule="exact"/>
              <w:rPr>
                <w:sz w:val="20"/>
                <w:szCs w:val="20"/>
                <w:color w:val="auto"/>
              </w:rPr>
            </w:pPr>
            <w:r>
              <w:rPr>
                <w:rFonts w:ascii="Arial" w:cs="Arial" w:eastAsia="Arial" w:hAnsi="Arial"/>
                <w:sz w:val="14"/>
                <w:szCs w:val="14"/>
                <w:color w:val="auto"/>
                <w:w w:val="87"/>
              </w:rPr>
              <w:t>(Address, including zip code, and telephone number,</w:t>
            </w:r>
          </w:p>
        </w:tc>
        <w:tc>
          <w:tcPr>
            <w:tcW w:w="2140" w:type="dxa"/>
            <w:vAlign w:val="bottom"/>
          </w:tcPr>
          <w:p>
            <w:pPr>
              <w:spacing w:after="0"/>
              <w:rPr>
                <w:sz w:val="12"/>
                <w:szCs w:val="12"/>
                <w:color w:val="auto"/>
              </w:rPr>
            </w:pPr>
          </w:p>
        </w:tc>
      </w:tr>
      <w:tr>
        <w:trPr>
          <w:trHeight w:val="172"/>
        </w:trPr>
        <w:tc>
          <w:tcPr>
            <w:tcW w:w="6460" w:type="dxa"/>
            <w:vAlign w:val="bottom"/>
          </w:tcPr>
          <w:p>
            <w:pPr>
              <w:jc w:val="center"/>
              <w:ind w:left="2637"/>
              <w:spacing w:after="0"/>
              <w:rPr>
                <w:sz w:val="20"/>
                <w:szCs w:val="20"/>
                <w:color w:val="auto"/>
              </w:rPr>
            </w:pPr>
            <w:r>
              <w:rPr>
                <w:rFonts w:ascii="Arial" w:cs="Arial" w:eastAsia="Arial" w:hAnsi="Arial"/>
                <w:sz w:val="14"/>
                <w:szCs w:val="14"/>
                <w:color w:val="auto"/>
                <w:w w:val="88"/>
              </w:rPr>
              <w:t>including area code, of registrant’s principal executive offices)</w:t>
            </w:r>
          </w:p>
        </w:tc>
        <w:tc>
          <w:tcPr>
            <w:tcW w:w="2140" w:type="dxa"/>
            <w:vAlign w:val="bottom"/>
          </w:tcPr>
          <w:p>
            <w:pPr>
              <w:spacing w:after="0"/>
              <w:rPr>
                <w:sz w:val="14"/>
                <w:szCs w:val="14"/>
                <w:color w:val="auto"/>
              </w:rPr>
            </w:pPr>
          </w:p>
        </w:tc>
      </w:tr>
      <w:tr>
        <w:trPr>
          <w:trHeight w:val="351"/>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8"/>
              </w:rPr>
              <w:t>Amit Shashank, Esq.</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Vice President, General Counsel and Secretary</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8"/>
              </w:rPr>
              <w:t>ExlService Holdings, Inc.</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280 Park Avenue, 38</w:t>
            </w:r>
            <w:r>
              <w:rPr>
                <w:rFonts w:ascii="Arial" w:cs="Arial" w:eastAsia="Arial" w:hAnsi="Arial"/>
                <w:sz w:val="11"/>
                <w:szCs w:val="11"/>
                <w:b w:val="1"/>
                <w:bCs w:val="1"/>
                <w:color w:val="auto"/>
                <w:w w:val="89"/>
              </w:rPr>
              <w:t>th</w:t>
            </w:r>
            <w:r>
              <w:rPr>
                <w:rFonts w:ascii="Arial" w:cs="Arial" w:eastAsia="Arial" w:hAnsi="Arial"/>
                <w:sz w:val="18"/>
                <w:szCs w:val="18"/>
                <w:b w:val="1"/>
                <w:bCs w:val="1"/>
                <w:color w:val="auto"/>
                <w:w w:val="89"/>
              </w:rPr>
              <w:t xml:space="preserve"> Floor</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New York, New York 10017</w:t>
            </w:r>
          </w:p>
        </w:tc>
        <w:tc>
          <w:tcPr>
            <w:tcW w:w="2140" w:type="dxa"/>
            <w:vAlign w:val="bottom"/>
          </w:tcPr>
          <w:p>
            <w:pPr>
              <w:spacing w:after="0"/>
              <w:rPr>
                <w:sz w:val="18"/>
                <w:szCs w:val="18"/>
                <w:color w:val="auto"/>
              </w:rPr>
            </w:pPr>
          </w:p>
        </w:tc>
      </w:tr>
      <w:tr>
        <w:trPr>
          <w:trHeight w:val="220"/>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277-7100</w:t>
            </w:r>
          </w:p>
        </w:tc>
        <w:tc>
          <w:tcPr>
            <w:tcW w:w="2140" w:type="dxa"/>
            <w:vAlign w:val="bottom"/>
          </w:tcPr>
          <w:p>
            <w:pPr>
              <w:spacing w:after="0"/>
              <w:rPr>
                <w:sz w:val="19"/>
                <w:szCs w:val="19"/>
                <w:color w:val="auto"/>
              </w:rPr>
            </w:pPr>
          </w:p>
        </w:tc>
      </w:tr>
      <w:tr>
        <w:trPr>
          <w:trHeight w:val="149"/>
        </w:trPr>
        <w:tc>
          <w:tcPr>
            <w:tcW w:w="6460" w:type="dxa"/>
            <w:vAlign w:val="bottom"/>
          </w:tcPr>
          <w:p>
            <w:pPr>
              <w:jc w:val="center"/>
              <w:ind w:left="2657"/>
              <w:spacing w:after="0" w:line="149" w:lineRule="exact"/>
              <w:rPr>
                <w:sz w:val="20"/>
                <w:szCs w:val="20"/>
                <w:color w:val="auto"/>
              </w:rPr>
            </w:pPr>
            <w:r>
              <w:rPr>
                <w:rFonts w:ascii="Arial" w:cs="Arial" w:eastAsia="Arial" w:hAnsi="Arial"/>
                <w:sz w:val="14"/>
                <w:szCs w:val="14"/>
                <w:color w:val="auto"/>
                <w:w w:val="86"/>
              </w:rPr>
              <w:t>(Name, address, including zip code, and telephone number,</w:t>
            </w:r>
          </w:p>
        </w:tc>
        <w:tc>
          <w:tcPr>
            <w:tcW w:w="2140" w:type="dxa"/>
            <w:vAlign w:val="bottom"/>
          </w:tcPr>
          <w:p>
            <w:pPr>
              <w:spacing w:after="0"/>
              <w:rPr>
                <w:sz w:val="12"/>
                <w:szCs w:val="12"/>
                <w:color w:val="auto"/>
              </w:rPr>
            </w:pPr>
          </w:p>
        </w:tc>
      </w:tr>
      <w:tr>
        <w:trPr>
          <w:trHeight w:val="172"/>
        </w:trPr>
        <w:tc>
          <w:tcPr>
            <w:tcW w:w="6460" w:type="dxa"/>
            <w:vAlign w:val="bottom"/>
          </w:tcPr>
          <w:p>
            <w:pPr>
              <w:jc w:val="center"/>
              <w:ind w:left="2637"/>
              <w:spacing w:after="0"/>
              <w:rPr>
                <w:sz w:val="20"/>
                <w:szCs w:val="20"/>
                <w:color w:val="auto"/>
              </w:rPr>
            </w:pPr>
            <w:r>
              <w:rPr>
                <w:rFonts w:ascii="Arial" w:cs="Arial" w:eastAsia="Arial" w:hAnsi="Arial"/>
                <w:sz w:val="14"/>
                <w:szCs w:val="14"/>
                <w:color w:val="auto"/>
                <w:w w:val="87"/>
              </w:rPr>
              <w:t>including area code, of agent for service)</w:t>
            </w:r>
          </w:p>
        </w:tc>
        <w:tc>
          <w:tcPr>
            <w:tcW w:w="2140" w:type="dxa"/>
            <w:vAlign w:val="bottom"/>
          </w:tcPr>
          <w:p>
            <w:pPr>
              <w:spacing w:after="0"/>
              <w:rPr>
                <w:sz w:val="14"/>
                <w:szCs w:val="14"/>
                <w:color w:val="auto"/>
              </w:rPr>
            </w:pPr>
          </w:p>
        </w:tc>
      </w:tr>
      <w:tr>
        <w:trPr>
          <w:trHeight w:val="351"/>
        </w:trPr>
        <w:tc>
          <w:tcPr>
            <w:tcW w:w="6460" w:type="dxa"/>
            <w:vAlign w:val="bottom"/>
          </w:tcPr>
          <w:p>
            <w:pPr>
              <w:jc w:val="center"/>
              <w:ind w:left="2637"/>
              <w:spacing w:after="0"/>
              <w:rPr>
                <w:sz w:val="20"/>
                <w:szCs w:val="20"/>
                <w:color w:val="auto"/>
              </w:rPr>
            </w:pPr>
            <w:r>
              <w:rPr>
                <w:rFonts w:ascii="Arial" w:cs="Arial" w:eastAsia="Arial" w:hAnsi="Arial"/>
                <w:sz w:val="18"/>
                <w:szCs w:val="18"/>
                <w:color w:val="auto"/>
                <w:w w:val="92"/>
              </w:rPr>
              <w:t>Copy to:</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John C. Kennedy, Esq.</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92"/>
              </w:rPr>
              <w:t>Paul, Weiss, Rifkind, Wharton &amp; Garrison LLP</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1285 Avenue of the Americas</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90"/>
              </w:rPr>
              <w:t>New York, New York 10019-6064</w:t>
            </w:r>
          </w:p>
        </w:tc>
        <w:tc>
          <w:tcPr>
            <w:tcW w:w="2140" w:type="dxa"/>
            <w:vAlign w:val="bottom"/>
          </w:tcPr>
          <w:p>
            <w:pPr>
              <w:spacing w:after="0"/>
              <w:rPr>
                <w:sz w:val="18"/>
                <w:szCs w:val="18"/>
                <w:color w:val="auto"/>
              </w:rPr>
            </w:pPr>
          </w:p>
        </w:tc>
      </w:tr>
      <w:tr>
        <w:trPr>
          <w:trHeight w:val="228"/>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373-3000</w:t>
            </w:r>
          </w:p>
        </w:tc>
        <w:tc>
          <w:tcPr>
            <w:tcW w:w="2140" w:type="dxa"/>
            <w:vAlign w:val="bottom"/>
          </w:tcPr>
          <w:p>
            <w:pPr>
              <w:spacing w:after="0"/>
              <w:rPr>
                <w:sz w:val="19"/>
                <w:szCs w:val="19"/>
                <w:color w:val="auto"/>
              </w:rPr>
            </w:pPr>
          </w:p>
        </w:tc>
      </w:tr>
    </w:tbl>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6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27" w:lineRule="exact"/>
        <w:rPr>
          <w:sz w:val="24"/>
          <w:szCs w:val="24"/>
          <w:color w:val="auto"/>
        </w:rPr>
      </w:pPr>
    </w:p>
    <w:p>
      <w:pPr>
        <w:ind w:right="180"/>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being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4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0"/>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80" w:val="left"/>
          <w:tab w:leader="none" w:pos="3580" w:val="left"/>
          <w:tab w:leader="none" w:pos="5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720" w:type="dxa"/>
            <w:vAlign w:val="bottom"/>
            <w:tcBorders>
              <w:top w:val="single" w:sz="8" w:color="auto"/>
              <w:left w:val="single" w:sz="8" w:color="auto"/>
              <w:right w:val="single" w:sz="8" w:color="auto"/>
            </w:tcBorders>
            <w:vMerge w:val="restart"/>
          </w:tcPr>
          <w:p>
            <w:pPr>
              <w:ind w:left="860"/>
              <w:spacing w:after="0"/>
              <w:rPr>
                <w:sz w:val="20"/>
                <w:szCs w:val="20"/>
                <w:color w:val="auto"/>
              </w:rPr>
            </w:pPr>
            <w:r>
              <w:rPr>
                <w:rFonts w:ascii="Arial" w:cs="Arial" w:eastAsia="Arial" w:hAnsi="Arial"/>
                <w:sz w:val="14"/>
                <w:szCs w:val="14"/>
                <w:b w:val="1"/>
                <w:bCs w:val="1"/>
                <w:color w:val="auto"/>
              </w:rPr>
              <w:t>Title of each Class of Securities to be</w:t>
            </w:r>
          </w:p>
        </w:tc>
        <w:tc>
          <w:tcPr>
            <w:tcW w:w="2000" w:type="dxa"/>
            <w:vAlign w:val="bottom"/>
            <w:tcBorders>
              <w:top w:val="single" w:sz="8" w:color="auto"/>
              <w:right w:val="single" w:sz="8" w:color="auto"/>
            </w:tcBorders>
          </w:tcPr>
          <w:p>
            <w:pPr>
              <w:spacing w:after="0"/>
              <w:rPr>
                <w:sz w:val="12"/>
                <w:szCs w:val="12"/>
                <w:color w:val="auto"/>
              </w:rPr>
            </w:pPr>
          </w:p>
        </w:tc>
        <w:tc>
          <w:tcPr>
            <w:tcW w:w="1940" w:type="dxa"/>
            <w:vAlign w:val="bottom"/>
            <w:tcBorders>
              <w:top w:val="single" w:sz="8" w:color="auto"/>
              <w:right w:val="single" w:sz="8" w:color="auto"/>
            </w:tcBorders>
            <w:gridSpan w:val="2"/>
          </w:tcPr>
          <w:p>
            <w:pPr>
              <w:jc w:val="center"/>
              <w:ind w:left="466"/>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1940" w:type="dxa"/>
            <w:vAlign w:val="bottom"/>
            <w:tcBorders>
              <w:top w:val="single" w:sz="8" w:color="auto"/>
              <w:right w:val="single" w:sz="8" w:color="auto"/>
            </w:tcBorders>
            <w:gridSpan w:val="2"/>
          </w:tcPr>
          <w:p>
            <w:pPr>
              <w:ind w:left="660"/>
              <w:spacing w:after="0" w:line="149" w:lineRule="exact"/>
              <w:rPr>
                <w:sz w:val="20"/>
                <w:szCs w:val="20"/>
                <w:color w:val="auto"/>
              </w:rPr>
            </w:pPr>
            <w:r>
              <w:rPr>
                <w:rFonts w:ascii="Arial" w:cs="Arial" w:eastAsia="Arial" w:hAnsi="Arial"/>
                <w:sz w:val="14"/>
                <w:szCs w:val="14"/>
                <w:b w:val="1"/>
                <w:bCs w:val="1"/>
                <w:color w:val="auto"/>
                <w:w w:val="93"/>
              </w:rPr>
              <w:t>Proposed Maximum</w:t>
            </w:r>
          </w:p>
        </w:tc>
        <w:tc>
          <w:tcPr>
            <w:tcW w:w="780" w:type="dxa"/>
            <w:vAlign w:val="bottom"/>
            <w:tcBorders>
              <w:top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20" w:type="dxa"/>
            <w:vAlign w:val="bottom"/>
            <w:tcBorders>
              <w:left w:val="single" w:sz="8" w:color="auto"/>
              <w:right w:val="single" w:sz="8" w:color="auto"/>
            </w:tcBorders>
            <w:vMerge w:val="continue"/>
          </w:tcPr>
          <w:p>
            <w:pPr>
              <w:spacing w:after="0"/>
              <w:rPr>
                <w:sz w:val="11"/>
                <w:szCs w:val="11"/>
                <w:color w:val="auto"/>
              </w:rPr>
            </w:pPr>
          </w:p>
        </w:tc>
        <w:tc>
          <w:tcPr>
            <w:tcW w:w="2000" w:type="dxa"/>
            <w:vAlign w:val="bottom"/>
            <w:tcBorders>
              <w:right w:val="single" w:sz="8" w:color="auto"/>
            </w:tcBorders>
          </w:tcPr>
          <w:p>
            <w:pPr>
              <w:jc w:val="right"/>
              <w:ind w:right="46"/>
              <w:spacing w:after="0" w:line="135" w:lineRule="exact"/>
              <w:rPr>
                <w:sz w:val="20"/>
                <w:szCs w:val="20"/>
                <w:color w:val="auto"/>
              </w:rPr>
            </w:pPr>
            <w:r>
              <w:rPr>
                <w:rFonts w:ascii="Arial" w:cs="Arial" w:eastAsia="Arial" w:hAnsi="Arial"/>
                <w:sz w:val="14"/>
                <w:szCs w:val="14"/>
                <w:b w:val="1"/>
                <w:bCs w:val="1"/>
                <w:color w:val="auto"/>
              </w:rPr>
              <w:t>Aggregate Amount to</w:t>
            </w:r>
          </w:p>
        </w:tc>
        <w:tc>
          <w:tcPr>
            <w:tcW w:w="1940" w:type="dxa"/>
            <w:vAlign w:val="bottom"/>
            <w:tcBorders>
              <w:right w:val="single" w:sz="8" w:color="auto"/>
            </w:tcBorders>
            <w:gridSpan w:val="2"/>
          </w:tcPr>
          <w:p>
            <w:pPr>
              <w:jc w:val="center"/>
              <w:ind w:left="446"/>
              <w:spacing w:after="0" w:line="135" w:lineRule="exact"/>
              <w:rPr>
                <w:sz w:val="20"/>
                <w:szCs w:val="20"/>
                <w:color w:val="auto"/>
              </w:rPr>
            </w:pPr>
            <w:r>
              <w:rPr>
                <w:rFonts w:ascii="Arial" w:cs="Arial" w:eastAsia="Arial" w:hAnsi="Arial"/>
                <w:sz w:val="14"/>
                <w:szCs w:val="14"/>
                <w:b w:val="1"/>
                <w:bCs w:val="1"/>
                <w:color w:val="auto"/>
                <w:w w:val="89"/>
              </w:rPr>
              <w:t>Offering Price Per</w:t>
            </w:r>
          </w:p>
        </w:tc>
        <w:tc>
          <w:tcPr>
            <w:tcW w:w="1940" w:type="dxa"/>
            <w:vAlign w:val="bottom"/>
            <w:tcBorders>
              <w:right w:val="single" w:sz="8" w:color="auto"/>
            </w:tcBorders>
            <w:gridSpan w:val="2"/>
          </w:tcPr>
          <w:p>
            <w:pPr>
              <w:ind w:left="680"/>
              <w:spacing w:after="0" w:line="135" w:lineRule="exact"/>
              <w:rPr>
                <w:sz w:val="20"/>
                <w:szCs w:val="20"/>
                <w:color w:val="auto"/>
              </w:rPr>
            </w:pPr>
            <w:r>
              <w:rPr>
                <w:rFonts w:ascii="Arial" w:cs="Arial" w:eastAsia="Arial" w:hAnsi="Arial"/>
                <w:sz w:val="14"/>
                <w:szCs w:val="14"/>
                <w:b w:val="1"/>
                <w:bCs w:val="1"/>
                <w:color w:val="auto"/>
                <w:w w:val="95"/>
              </w:rPr>
              <w:t>Aggregate Offering</w:t>
            </w:r>
          </w:p>
        </w:tc>
        <w:tc>
          <w:tcPr>
            <w:tcW w:w="780" w:type="dxa"/>
            <w:vAlign w:val="bottom"/>
          </w:tcPr>
          <w:p>
            <w:pPr>
              <w:spacing w:after="0"/>
              <w:rPr>
                <w:sz w:val="11"/>
                <w:szCs w:val="11"/>
                <w:color w:val="auto"/>
              </w:rPr>
            </w:pPr>
          </w:p>
        </w:tc>
        <w:tc>
          <w:tcPr>
            <w:tcW w:w="1060" w:type="dxa"/>
            <w:vAlign w:val="bottom"/>
            <w:tcBorders>
              <w:right w:val="single" w:sz="8" w:color="auto"/>
            </w:tcBorders>
          </w:tcPr>
          <w:p>
            <w:pPr>
              <w:jc w:val="right"/>
              <w:ind w:right="317"/>
              <w:spacing w:after="0" w:line="135" w:lineRule="exact"/>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75"/>
        </w:trPr>
        <w:tc>
          <w:tcPr>
            <w:tcW w:w="3720" w:type="dxa"/>
            <w:vAlign w:val="bottom"/>
            <w:tcBorders>
              <w:left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4"/>
                <w:szCs w:val="14"/>
                <w:b w:val="1"/>
                <w:bCs w:val="1"/>
                <w:color w:val="auto"/>
              </w:rPr>
              <w:t>Registered</w:t>
            </w:r>
          </w:p>
        </w:tc>
        <w:tc>
          <w:tcPr>
            <w:tcW w:w="20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be Registered (1)</w:t>
            </w:r>
          </w:p>
        </w:tc>
        <w:tc>
          <w:tcPr>
            <w:tcW w:w="8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91"/>
              </w:rPr>
              <w:t>Unit (2)</w:t>
            </w:r>
          </w:p>
        </w:tc>
        <w:tc>
          <w:tcPr>
            <w:tcW w:w="82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Price (2)(3)</w:t>
            </w:r>
          </w:p>
        </w:tc>
        <w:tc>
          <w:tcPr>
            <w:tcW w:w="1840" w:type="dxa"/>
            <w:vAlign w:val="bottom"/>
            <w:tcBorders>
              <w:bottom w:val="single" w:sz="8" w:color="auto"/>
              <w:right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Primary Offering:</w:t>
            </w:r>
          </w:p>
        </w:tc>
        <w:tc>
          <w:tcPr>
            <w:tcW w:w="2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Common Stock (4)</w:t>
            </w:r>
          </w:p>
        </w:tc>
        <w:tc>
          <w:tcPr>
            <w:tcW w:w="2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Preferred Stock (4)</w:t>
            </w:r>
          </w:p>
        </w:tc>
        <w:tc>
          <w:tcPr>
            <w:tcW w:w="2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Debt Securities (4)</w:t>
            </w:r>
          </w:p>
        </w:tc>
        <w:tc>
          <w:tcPr>
            <w:tcW w:w="2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Depositary Shares</w:t>
            </w:r>
          </w:p>
        </w:tc>
        <w:tc>
          <w:tcPr>
            <w:tcW w:w="2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Warrants</w:t>
            </w:r>
          </w:p>
        </w:tc>
        <w:tc>
          <w:tcPr>
            <w:tcW w:w="2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Rights</w:t>
            </w:r>
          </w:p>
        </w:tc>
        <w:tc>
          <w:tcPr>
            <w:tcW w:w="2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Purchase Contracts</w:t>
            </w:r>
          </w:p>
        </w:tc>
        <w:tc>
          <w:tcPr>
            <w:tcW w:w="2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Units</w:t>
            </w:r>
          </w:p>
        </w:tc>
        <w:tc>
          <w:tcPr>
            <w:tcW w:w="2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Total Primary Offering</w:t>
            </w:r>
          </w:p>
        </w:tc>
        <w:tc>
          <w:tcPr>
            <w:tcW w:w="2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8"/>
                <w:szCs w:val="18"/>
                <w:color w:val="auto"/>
              </w:rPr>
              <w:t>3,000,000</w:t>
            </w:r>
          </w:p>
        </w:tc>
        <w:tc>
          <w:tcPr>
            <w:tcW w:w="7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Secondary Offering:</w:t>
            </w:r>
          </w:p>
        </w:tc>
        <w:tc>
          <w:tcPr>
            <w:tcW w:w="2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Common Stock</w:t>
            </w:r>
          </w:p>
        </w:tc>
        <w:tc>
          <w:tcPr>
            <w:tcW w:w="200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8"/>
                <w:szCs w:val="18"/>
                <w:color w:val="auto"/>
              </w:rPr>
              <w:t>5,552,504</w:t>
            </w: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42"/>
              <w:spacing w:after="0"/>
              <w:rPr>
                <w:sz w:val="20"/>
                <w:szCs w:val="20"/>
                <w:color w:val="auto"/>
              </w:rPr>
            </w:pPr>
            <w:r>
              <w:rPr>
                <w:rFonts w:ascii="Arial" w:cs="Arial" w:eastAsia="Arial" w:hAnsi="Arial"/>
                <w:sz w:val="18"/>
                <w:szCs w:val="18"/>
                <w:color w:val="auto"/>
              </w:rPr>
              <w:t>23.515</w:t>
            </w: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8"/>
                <w:szCs w:val="18"/>
                <w:color w:val="auto"/>
                <w:w w:val="97"/>
              </w:rPr>
              <w:t>130,567,132</w:t>
            </w:r>
          </w:p>
        </w:tc>
        <w:tc>
          <w:tcPr>
            <w:tcW w:w="7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8"/>
                <w:szCs w:val="18"/>
                <w:color w:val="auto"/>
              </w:rPr>
              <w:t>14,963</w:t>
            </w: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Total Registration Fee</w:t>
            </w:r>
          </w:p>
        </w:tc>
        <w:tc>
          <w:tcPr>
            <w:tcW w:w="2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8"/>
                <w:szCs w:val="18"/>
                <w:color w:val="auto"/>
              </w:rPr>
              <w:t>15,307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2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regard to the securities included in the primary offering made hereby, the amount to be registered is not specified as to each class of securities to be registered pursuant to General Instruction II.D. An indeterminate aggregate initial offering price or number of shares of common stock, shares of preferred stock, debt securities, depositary shares, warrants, rights, purchase contracts and units of ExlService Holdings, Inc. is being registered as may from time to time be issued at currently indeterminable prices. Securities registered hereunder may be sold separately or together with other securities registered hereunder.</w:t>
      </w:r>
    </w:p>
    <w:p>
      <w:pPr>
        <w:spacing w:after="0" w:line="142" w:lineRule="exact"/>
        <w:rPr>
          <w:rFonts w:ascii="Arial" w:cs="Arial" w:eastAsia="Arial" w:hAnsi="Arial"/>
          <w:sz w:val="18"/>
          <w:szCs w:val="18"/>
          <w:color w:val="auto"/>
        </w:rPr>
      </w:pPr>
    </w:p>
    <w:p>
      <w:pPr>
        <w:jc w:val="both"/>
        <w:ind w:left="460" w:right="440"/>
        <w:spacing w:after="0" w:line="259" w:lineRule="auto"/>
        <w:rPr>
          <w:rFonts w:ascii="Arial" w:cs="Arial" w:eastAsia="Arial" w:hAnsi="Arial"/>
          <w:sz w:val="18"/>
          <w:szCs w:val="18"/>
          <w:color w:val="auto"/>
        </w:rPr>
      </w:pPr>
      <w:r>
        <w:rPr>
          <w:rFonts w:ascii="Arial" w:cs="Arial" w:eastAsia="Arial" w:hAnsi="Arial"/>
          <w:sz w:val="18"/>
          <w:szCs w:val="18"/>
          <w:color w:val="auto"/>
        </w:rPr>
        <w:t>With regard to the securities included in the secondary offering made hereby, pursuant to Rule 416 under the Securities Act of 1933, this Registration Statement shall be deemed to cover an indeterminate number of additional securities to be offered as a result of stock splits, stock dividends or similar transactions.</w:t>
      </w:r>
    </w:p>
    <w:p>
      <w:pPr>
        <w:spacing w:after="0" w:line="180"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regard to the securities included in the primary offering made hereby, the proposed maximum offering price per security will be determined from time to time by the registrant in connection with the issuance of the securities registered by this registration statement. Prices, when determined, may be in U.S. dollars or the equivalent thereof in one or more foreign currencies, foreign currency units or composite currencies. If any debt securities or preferred stock are issued at an original issue discount, then the amount registered will include the principal or liquidation amount of such securities measured by the initial offering price thereof.</w:t>
      </w:r>
    </w:p>
    <w:p>
      <w:pPr>
        <w:spacing w:after="0" w:line="142"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With regard to the securities included in the secondary offering made hereby, the offering price and registration fee are estimated pursuant to Rule 457(c) under the Securities Act of 1933 based upon the average high and low sale prices for the common stock of ExlService Holdings, Inc., on January 18, 2012, as reported by the Nasdaq Global Select Market.</w:t>
      </w:r>
    </w:p>
    <w:p>
      <w:pPr>
        <w:spacing w:after="0" w:line="18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regard to the securities included in the primary offering made hereby, estimated solely for purposes of calculating the registration fee pursuant to Rule 457(a) under the Securities Act of 1933, as amended.</w:t>
      </w:r>
    </w:p>
    <w:p>
      <w:pPr>
        <w:spacing w:after="0" w:line="172"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an indeterminate number of shares of common stock and preferred stock as may from time to time be issued upon conversion or exchange of debt securities or preferred stock, or upon the exercise of warrants, rights or purchase contracts,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DE1A1E"/>
        </w:rPr>
        <w:t>Subject to Completion, dated January 19,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220980</wp:posOffset>
            </wp:positionV>
            <wp:extent cx="1140460" cy="763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046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ExlService Holdings, Inc.</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Units</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offer and sell from time to time up to an aggregate of $3,000,000 of shares of our common stock, shares of our preferred stock, debt securities, depositary shares, warrants, rights, purchase contracts or units, or any combination thereof, in one or more offerings in amounts, at prices and on terms that we determine at the time of the offering. In addition, the selling stockholders named in this prospectus may offer, from time to time and in one or more offerings, up to 5,552,504 shares of our common stock.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time we or the selling stockholders offer securities, we will provide a prospectus supplement containing more information about the particular offering together with this prospectus. The prospectus supplement also may add, update or change information contained in this prospectus. This prospectus may not be used to offer and sell securities without a prospectus supplement.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Nasdaq Global Select Market under the symbol “EXLS.”</w:t>
      </w:r>
    </w:p>
    <w:p>
      <w:pPr>
        <w:spacing w:after="0" w:line="165" w:lineRule="exact"/>
        <w:rPr>
          <w:sz w:val="20"/>
          <w:szCs w:val="20"/>
          <w:color w:val="auto"/>
        </w:rPr>
      </w:pPr>
    </w:p>
    <w:p>
      <w:pPr>
        <w:ind w:right="100" w:firstLine="456"/>
        <w:spacing w:after="0" w:line="310"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these securities involves significant risks. We strongly recommend that you read carefully the risks we describe in this prospectus as well as in any accompanying prospectus supplement and the risk factors that are incorporated by reference in this prospectus from our filings made with the Securities and Exchange Commission. See “</w:t>
      </w:r>
      <w:hyperlink w:anchor="page6">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0"/>
          <w:szCs w:val="20"/>
          <w:color w:val="auto"/>
        </w:rPr>
      </w:pPr>
    </w:p>
    <w:p>
      <w:pPr>
        <w:ind w:right="6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tbl>
      <w:tblPr>
        <w:tblLayout w:type="fixed"/>
        <w:tblInd w:w="400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00" w:type="dxa"/>
            <w:vAlign w:val="bottom"/>
          </w:tcPr>
          <w:p>
            <w:pPr>
              <w:jc w:val="right"/>
              <w:spacing w:after="0"/>
              <w:rPr>
                <w:sz w:val="20"/>
                <w:szCs w:val="20"/>
                <w:color w:val="auto"/>
              </w:rPr>
            </w:pPr>
            <w:r>
              <w:rPr>
                <w:rFonts w:ascii="Arial" w:cs="Arial" w:eastAsia="Arial" w:hAnsi="Arial"/>
                <w:sz w:val="18"/>
                <w:szCs w:val="18"/>
                <w:color w:val="auto"/>
              </w:rPr>
              <w:t>, 2012</w:t>
            </w: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38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40" w:type="dxa"/>
            <w:vAlign w:val="bottom"/>
            <w:gridSpan w:val="1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71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40" w:type="dxa"/>
            <w:vAlign w:val="bottom"/>
            <w:gridSpan w:val="18"/>
            <w:vMerge w:val="continue"/>
          </w:tcPr>
          <w:p>
            <w:pPr>
              <w:spacing w:after="0"/>
              <w:rPr>
                <w:sz w:val="14"/>
                <w:szCs w:val="14"/>
                <w:color w:val="auto"/>
              </w:rPr>
            </w:pPr>
          </w:p>
        </w:tc>
        <w:tc>
          <w:tcPr>
            <w:tcW w:w="710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Company</w:t>
              </w:r>
            </w:hyperlink>
          </w:p>
        </w:tc>
        <w:tc>
          <w:tcPr>
            <w:tcW w:w="2340" w:type="dxa"/>
            <w:vAlign w:val="bottom"/>
            <w:gridSpan w:val="12"/>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Forward-Looking Statements</w:t>
              </w:r>
            </w:hyperlink>
          </w:p>
        </w:tc>
        <w:tc>
          <w:tcPr>
            <w:tcW w:w="1860" w:type="dxa"/>
            <w:vAlign w:val="bottom"/>
            <w:gridSpan w:val="7"/>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3040" w:type="dxa"/>
            <w:vAlign w:val="bottom"/>
            <w:gridSpan w:val="16"/>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4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Ratio of Earnings to Fixed Charges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 Pro Forma Financial Information</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1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Selling Stockholders</w:t>
              </w:r>
            </w:hyperlink>
          </w:p>
        </w:tc>
        <w:tc>
          <w:tcPr>
            <w:tcW w:w="840" w:type="dxa"/>
            <w:vAlign w:val="bottom"/>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Description of Capital Stock</w:t>
              </w:r>
            </w:hyperlink>
          </w:p>
        </w:tc>
        <w:tc>
          <w:tcPr>
            <w:tcW w:w="1920" w:type="dxa"/>
            <w:vAlign w:val="bottom"/>
            <w:gridSpan w:val="8"/>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Description of the Debt Securities</w:t>
              </w:r>
            </w:hyperlink>
          </w:p>
        </w:tc>
        <w:tc>
          <w:tcPr>
            <w:tcW w:w="1540" w:type="dxa"/>
            <w:vAlign w:val="bottom"/>
            <w:gridSpan w:val="6"/>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394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the Depositary Shares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the Warrants</w:t>
              </w:r>
            </w:hyperlink>
          </w:p>
        </w:tc>
        <w:tc>
          <w:tcPr>
            <w:tcW w:w="1340" w:type="dxa"/>
            <w:vAlign w:val="bottom"/>
            <w:gridSpan w:val="4"/>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Description of the Rights</w:t>
              </w:r>
            </w:hyperlink>
          </w:p>
        </w:tc>
        <w:tc>
          <w:tcPr>
            <w:tcW w:w="160" w:type="dxa"/>
            <w:vAlign w:val="bottom"/>
            <w:tcBorders>
              <w:top w:val="single" w:sz="8" w:color="0000EE"/>
            </w:tcBorders>
          </w:tcPr>
          <w:p>
            <w:pPr>
              <w:spacing w:after="0"/>
              <w:rPr>
                <w:sz w:val="17"/>
                <w:szCs w:val="17"/>
                <w:color w:val="auto"/>
              </w:rPr>
            </w:pPr>
          </w:p>
        </w:tc>
        <w:tc>
          <w:tcPr>
            <w:tcW w:w="2000" w:type="dxa"/>
            <w:vAlign w:val="bottom"/>
            <w:gridSpan w:val="9"/>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Description of the Purchase Contracts</w:t>
              </w:r>
            </w:hyperlink>
          </w:p>
        </w:tc>
        <w:tc>
          <w:tcPr>
            <w:tcW w:w="1260" w:type="dxa"/>
            <w:vAlign w:val="bottom"/>
            <w:gridSpan w:val="3"/>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394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the Units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Plan of Distribution</w:t>
              </w:r>
            </w:hyperlink>
          </w:p>
        </w:tc>
        <w:tc>
          <w:tcPr>
            <w:tcW w:w="2240" w:type="dxa"/>
            <w:vAlign w:val="bottom"/>
            <w:gridSpan w:val="11"/>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Matters</w:t>
              </w:r>
            </w:hyperlink>
          </w:p>
        </w:tc>
        <w:tc>
          <w:tcPr>
            <w:tcW w:w="2480" w:type="dxa"/>
            <w:vAlign w:val="bottom"/>
            <w:gridSpan w:val="13"/>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Experts</w:t>
              </w:r>
            </w:hyperlink>
          </w:p>
        </w:tc>
        <w:tc>
          <w:tcPr>
            <w:tcW w:w="2940" w:type="dxa"/>
            <w:vAlign w:val="bottom"/>
            <w:gridSpan w:val="15"/>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Incorporation by Reference</w:t>
              </w:r>
            </w:hyperlink>
          </w:p>
        </w:tc>
        <w:tc>
          <w:tcPr>
            <w:tcW w:w="860" w:type="dxa"/>
            <w:vAlign w:val="bottom"/>
            <w:tcBorders>
              <w:top w:val="single" w:sz="8" w:color="0000EE"/>
            </w:tcBorders>
            <w:gridSpan w:val="7"/>
          </w:tcPr>
          <w:p>
            <w:pPr>
              <w:spacing w:after="0"/>
              <w:rPr>
                <w:sz w:val="17"/>
                <w:szCs w:val="17"/>
                <w:color w:val="auto"/>
              </w:rPr>
            </w:pPr>
          </w:p>
        </w:tc>
        <w:tc>
          <w:tcPr>
            <w:tcW w:w="1140" w:type="dxa"/>
            <w:vAlign w:val="bottom"/>
            <w:gridSpan w:val="2"/>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registration process, we may offer and sell from time to time shares of our common stock, shares of our preferred stock, debt securities, depositary shares, warrants, rights, purchase contracts or units, or any combination thereof, in one or more offerings in amounts, at prices and on terms that we determine at the time of the offering, with an aggregate initial offering price of up to $3,000,000 and the selling stockholders may offer, from time to time in one or more offerings, up to an aggregate of 5,552,504 shares of our common stock. This prospectus provides you with a general description of the securities. Each time we offer the securities or the selling stockholders sell shares of common stock, we will provide a prospectus supplement that describes the terms of the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“Incorporation by Reference.”</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registration statement that contains this prospectus, including the exhibits to the registration statement and the information incorporated by reference, provides additional information about us and our securities. The registration statement can be read at the SEC web site (www.sec.gov) or at the SEC public reference room as discussed below under the heading “Where You Can Find More Information.”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should rely only on the information provided in the registration statement, this prospectus and in any prospectus supplement, including the information incorporated by reference. Neither we nor the selling stockholders have authorized anyone to provide you with different information. You should not assume that the information in this prospectus or any supplement to this prospectus is accurate at any date other than the date indicated on the cover page of these documents. Neither we nor the selling stockholders are making an offer to sell the securities in any jurisdiction where the offer or sale is not permitted.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and the selling stockholders may sell the securities to or through underwriters, dealers or agents or directly to purchasers. The securities may be sold for U.S. dollars, foreign-denominated currency or currency units. Amounts payable with respect to any securities may be payable in U.S. dollars or foreign-denominated currency or currency units as specified in the applicable prospectus supplement. We, the selling stockholders and our and their agents reserve the sole right to accept or reject in whole or in part any proposed purchase of the securities. The prospectus supplement, which we will provide each time we or the selling stockholders offer the securities, will set forth the names of any underwriters, dealers or agents involved in the sale of the securities, and any related fee, commission or discount arrangements. See “Plan of Distribution.”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may also contain information about any material U.S. federal income tax considerations relating to the securities covered by the prospectus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the terms “ExlService,” “we,” “us,” “our” and the “Company” refer to ExlService Holdings, Inc.</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jc w:val="both"/>
        <w:ind w:right="280" w:firstLine="456"/>
        <w:spacing w:after="0" w:line="303" w:lineRule="auto"/>
        <w:rPr>
          <w:sz w:val="20"/>
          <w:szCs w:val="20"/>
          <w:color w:val="auto"/>
        </w:rPr>
      </w:pPr>
      <w:r>
        <w:rPr>
          <w:rFonts w:ascii="Arial" w:cs="Arial" w:eastAsia="Arial" w:hAnsi="Arial"/>
          <w:sz w:val="15"/>
          <w:szCs w:val="15"/>
          <w:color w:val="auto"/>
        </w:rPr>
        <w:t>ExlService Holdings, Inc. is a leading provider of outsourcing and transformation services. Our outsourcing services include a full spectrum of business process management services such as transaction processing and finance and accounting services. Transformation services enable continuous improvement of client processes by bringing together our capabilities in decision analytics, risk and financial management and operations and process excellence services.</w:t>
      </w:r>
    </w:p>
    <w:p>
      <w:pPr>
        <w:spacing w:after="0" w:line="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Headquartered in New York, we primarily serve the needs of Fortune 1000 companies from global delivery centers in the insurance, utilities, banking and financial services, transportation and logistics, and travel sectors.</w:t>
      </w:r>
    </w:p>
    <w:p>
      <w:pPr>
        <w:spacing w:after="0" w:line="138"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ExlService, we refer you to our filings with the SEC incorporated by reference in this prospectus. For instructions on how to find copies of these documents, see “Where You Can Find More Information.” More information about us is also available through our website at www.exlservice.com. The information on our website is not incorporated by reference into this prospectus or any accompanying prospectus supplement.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280 Park Avenue, 38th Floor, New York, New York 10017, telephone (212) 277-7100.</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and the documents incorporated by reference include forward-looking statements as defined in the Private Securities Litigation Reform Act of 1995. In addition, we may make other written and oral communications from time to time that contain such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the information contained and incorporated by reference herein, you should understand that these statements are not guarantees of performance or results. They involve known and unknown risks, uncertainties and assumptions. Although we believe that these forward-looking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4"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integrate acquisitions, including the recent acquisition of Business Process Outsourcing, Inc. (“OPI”);</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herein and in the documents incorporated by reference herein. These and other risks could cause actual results to differ materially from those implied by forward-looking statements herein and therein.</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You should keep in mind that any forward-looking statement made by us herein and in the documents incorporated by reference herein, or elsewhere, speaks only as of the date on which we make it. New risks and uncertainties come up from time to time, and it is impossible for us to predict these events or how they may affect us. We have no obligation to update any forward-looking statements herein or therein after the date hereof or thereof, except as required by federal securities laws.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Investing in our securities involves risk. You should carefully consider the specific risks discussed or incorporated by reference in the applicable prospectus supplement, together with all the other information contained in the prospectus supplement or incorporated by reference in this prospectus and the applicable prospectus supplement. You should also consider the risks, uncertainties and assumptions discussed under the caption “Risk Factors” included in our Annual Report on Form 10-K for the year ended December 31, 2010, which is incorporated by reference in this prospectus. These risk factors may be amended, supplemented or superseded from time to time by other reports we file with the SEC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Unless we specify another use in the applicable prospectus supplement, we will use the net proceeds from the sale of the securities offered by us for general corporate purposes, which may include, among other things, debt repayment, working capital and/or capital expenditures.</w:t>
      </w:r>
    </w:p>
    <w:p>
      <w:pPr>
        <w:spacing w:after="0" w:line="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may also use such proceeds to fund acquisitions of businesses, technologies or product lines that complement our current business. We may set forth additional information on the use of net proceeds from the sale of the securities we offer under this prospectus in a prospectus supplement related to a specific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resale of shares of our common stock by the selling stockholders.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ratios of earnings to fixed charges are shown in the table below. For purposes of calculating the below ratios, earnings consist of income before taxes plus fixed charges plus amortization of capitalized interest less interest capitalized during the period. Fixed charges means the sum of the following: (a) interest expensed and capitalized, (b) amortized premiums, discounts and capitalized expenses related to indebtedness, (c) an estimate of the interest within rental expense, and (d) preference security dividend requirements of consolidated subsidiaries. Preferred dividends include pre-tax amounts required to pay dividends in respect of our previously-outstanding Series A Preferred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8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8"/>
              </w:rPr>
              <w:t>Nine Months Ended</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120" w:type="dxa"/>
            <w:vAlign w:val="bottom"/>
          </w:tcPr>
          <w:p>
            <w:pPr>
              <w:spacing w:after="0"/>
              <w:rPr>
                <w:sz w:val="14"/>
                <w:szCs w:val="14"/>
                <w:color w:val="auto"/>
              </w:rPr>
            </w:pPr>
          </w:p>
        </w:tc>
        <w:tc>
          <w:tcPr>
            <w:tcW w:w="18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2011</w:t>
            </w:r>
          </w:p>
        </w:tc>
        <w:tc>
          <w:tcPr>
            <w:tcW w:w="940" w:type="dxa"/>
            <w:vAlign w:val="bottom"/>
            <w:tcBorders>
              <w:top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center"/>
              <w:ind w:left="172"/>
              <w:spacing w:after="0" w:line="142" w:lineRule="exact"/>
              <w:rPr>
                <w:sz w:val="20"/>
                <w:szCs w:val="20"/>
                <w:color w:val="auto"/>
              </w:rPr>
            </w:pPr>
            <w:r>
              <w:rPr>
                <w:rFonts w:ascii="Arial" w:cs="Arial" w:eastAsia="Arial" w:hAnsi="Arial"/>
                <w:sz w:val="14"/>
                <w:szCs w:val="14"/>
                <w:b w:val="1"/>
                <w:bCs w:val="1"/>
                <w:color w:val="auto"/>
                <w:w w:val="89"/>
              </w:rPr>
              <w:t>2008</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5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9.5x</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10.5x</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10.8x</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1"/>
              </w:rPr>
              <w:t>11.0x</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6.5x</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16.0x</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2"/>
              </w:rPr>
              <w:t>7.5x</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Ratio of earnings to fixed charges and preferred dividends</w:t>
            </w:r>
          </w:p>
        </w:tc>
        <w:tc>
          <w:tcPr>
            <w:tcW w:w="540" w:type="dxa"/>
            <w:vAlign w:val="bottom"/>
          </w:tcPr>
          <w:p>
            <w:pPr>
              <w:ind w:left="220"/>
              <w:spacing w:after="0"/>
              <w:rPr>
                <w:sz w:val="20"/>
                <w:szCs w:val="20"/>
                <w:color w:val="auto"/>
              </w:rPr>
            </w:pPr>
            <w:r>
              <w:rPr>
                <w:rFonts w:ascii="Arial" w:cs="Arial" w:eastAsia="Arial" w:hAnsi="Arial"/>
                <w:sz w:val="18"/>
                <w:szCs w:val="18"/>
                <w:color w:val="auto"/>
                <w:w w:val="88"/>
              </w:rPr>
              <w:t>9.5x</w:t>
            </w:r>
          </w:p>
        </w:tc>
        <w:tc>
          <w:tcPr>
            <w:tcW w:w="40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10.5x</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10.8x</w:t>
            </w: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11.0x</w:t>
            </w:r>
          </w:p>
        </w:tc>
        <w:tc>
          <w:tcPr>
            <w:tcW w:w="260" w:type="dxa"/>
            <w:vAlign w:val="bottom"/>
          </w:tcPr>
          <w:p>
            <w:pPr>
              <w:spacing w:after="0"/>
              <w:rPr>
                <w:sz w:val="19"/>
                <w:szCs w:val="19"/>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6.5x</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16.0x</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4.7x</w:t>
            </w:r>
          </w:p>
        </w:tc>
      </w:tr>
      <w:tr>
        <w:trPr>
          <w:trHeight w:val="356"/>
        </w:trPr>
        <w:tc>
          <w:tcPr>
            <w:tcW w:w="5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jc w:val="right"/>
              <w:ind w:right="222"/>
              <w:spacing w:after="0"/>
              <w:rPr>
                <w:sz w:val="20"/>
                <w:szCs w:val="20"/>
                <w:color w:val="auto"/>
              </w:rPr>
            </w:pPr>
            <w:r>
              <w:rPr>
                <w:rFonts w:ascii="Arial" w:cs="Arial" w:eastAsia="Arial" w:hAnsi="Arial"/>
                <w:sz w:val="18"/>
                <w:szCs w:val="18"/>
                <w:color w:val="auto"/>
                <w:w w:val="79"/>
              </w:rPr>
              <w:t>4</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May 31, 2011, we completed our acquisition of OPI, pursuant to a Merger Agreement, dated as of April 30, 2011 (the “Merger Agreement”), with F&amp;A BPO Merger Sub, Inc., a Delaware corporation and wholly owned subsidiary of the Company (“Merger Sub”), OPI and Shareholder Representative Services LLC, a Colorado limited liability company. Under the terms of the Merger Agreement, Merger Sub merged with and into OPI and OPI survived as a wholly owned subsidiary of the Company (the “Merger”).</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aggregate consideration paid to OPI’s former stockholders in the Merger was $91 million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unaudited pro forma condensed combined statement of income for the nine months ended September 30, 2011 illustrates the effect of the acquisition of OPI had it occurred on January 1, 2010, and was derived from the unaudited historical consolidated statement of income of OPI for the five months ended</w:t>
      </w:r>
    </w:p>
    <w:p>
      <w:pPr>
        <w:ind w:right="260"/>
        <w:spacing w:after="0" w:line="261" w:lineRule="auto"/>
        <w:rPr>
          <w:sz w:val="20"/>
          <w:szCs w:val="20"/>
          <w:color w:val="auto"/>
        </w:rPr>
      </w:pPr>
      <w:r>
        <w:rPr>
          <w:rFonts w:ascii="Arial" w:cs="Arial" w:eastAsia="Arial" w:hAnsi="Arial"/>
          <w:sz w:val="18"/>
          <w:szCs w:val="18"/>
          <w:color w:val="auto"/>
        </w:rPr>
        <w:t>May 31, 2011, combined with the Company’s unaudited consolidated statement of income for the nine months ended September 30, 2011, with merger-related adjustments reflected in the period presented.</w:t>
      </w:r>
    </w:p>
    <w:p>
      <w:pPr>
        <w:spacing w:after="0" w:line="13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preliminary allocation of the purchase price for the acquisition of OPI used in the unaudited pro forma information set forth below is based upon preliminary estimates and assumptions. These preliminary estimates and assumptions are subject to change during the measurement period (up to one year from the acquisition date) as the Company finalizes the valuations of certain tangible and intangible assets acquired and liabilities assumed in connection with its acquisition of OPI.</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unaudited pro forma condensed combined financial statements, including the notes thereto, do not reflect any potential cost savings or other synergies that could result from the combined operations of the Company and OPI. The unaudited pro forma condensed combined financial statements are presented for illustrative purposes only and are not necessarily indicative of the combined financial position or results of operations for future periods or the results that would have been achieved if the Merger had been consummated on the date indicated.</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unaudited pro forma condensed combined financial information should be read in conjunction with the historical consolidated financial statements and notes thereto of the Company and other financial information pertaining to the Company contained in its Annual Report on Form 10-K for the fiscal year ended December 31, 2010, which was filed with the SEC on March 16, 2011, and its Quarterly Report on Form 10-Q for the quarter ended September 30, 2011, which was filed with the SEC on November 8, 2011 as well as OPI historical financial statements for the year ended December 31, 2010 and the quarters ended March 31, 2011 and 2010, included as Exhibit 99.2 in the Company’s Current Report on Form 8-K/A, which was filed with the SEC on August 1, 2011.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4"/>
              </w:rPr>
              <w:t>Pro Forma</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7"/>
              </w:rPr>
              <w:t>Notes</w:t>
            </w:r>
            <w:r>
              <w:rPr>
                <w:rFonts w:ascii="Arial" w:cs="Arial" w:eastAsia="Arial" w:hAnsi="Arial"/>
                <w:sz w:val="22"/>
                <w:szCs w:val="22"/>
                <w:b w:val="1"/>
                <w:bCs w:val="1"/>
                <w:color w:val="auto"/>
                <w:w w:val="77"/>
                <w:vertAlign w:val="superscript"/>
              </w:rPr>
              <w:t>(1)</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ExlService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OPI</w:t>
            </w:r>
          </w:p>
        </w:tc>
        <w:tc>
          <w:tcPr>
            <w:tcW w:w="2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257,961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36,781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26,392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99,990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10,389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(49)</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36,115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4,291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(3,041)</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Selling and marketing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16,405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1,442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1,380</w:t>
            </w:r>
          </w:p>
        </w:tc>
        <w:tc>
          <w:tcPr>
            <w:tcW w:w="6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(1,661)</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28,576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2,470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1,612</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40"/>
              <w:spacing w:after="0"/>
              <w:rPr>
                <w:sz w:val="20"/>
                <w:szCs w:val="20"/>
                <w:color w:val="auto"/>
              </w:rPr>
            </w:pPr>
            <w:r>
              <w:rPr>
                <w:rFonts w:ascii="Arial" w:cs="Arial" w:eastAsia="Arial" w:hAnsi="Arial"/>
                <w:sz w:val="18"/>
                <w:szCs w:val="18"/>
                <w:color w:val="auto"/>
              </w:rPr>
              <w:t>Foreign exchange gain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 and other income,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(275)</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(b)(c)</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33,865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2,769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1,337</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25,226</w:t>
            </w:r>
          </w:p>
        </w:tc>
        <w:tc>
          <w:tcPr>
            <w:tcW w:w="2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2,547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301</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9"/>
              </w:rPr>
              <w:t>Weighted-average number of shares used in computing earnings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29,926,846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29,926,846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6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31,131,513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31,131,513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Refer to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Pro Forma Condensed Combined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PRO FORMA PRESENTATION</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unaudited pro forma condensed combined financial statements included herein have been prepared by the Company, without audit, pursuant to the rules and regulations of the Securities and Exchange Commission.</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unaudited pro forma combined condensed statement of income for the nine months ended September 30, 2011 is based on the historical financial statements of the Company for the nine months ended September 30, 2011 and the historical financial statements of OPI for the five months ended May 31, 2011, after giving effect to the acquisition adjustments. The unaudited pro forma condensed combined statement of income is presented as if the acquisition of OPI had occurred on January 1, 2010 with merger-related adjustments reflected in the period presented.</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Company accounts for business combinations pursuant to Financial Accounting Standards Board (“FASB”) Accounting Standards Codification (“ASC”) 805, Business Combinations. In accordance with ASC 805, the Company recognizes separately from goodwill, the identifiable assets acquired and the liabilities assumed, generally at the acquisition date fair value as defined by ASC 820, Fair Value Measurements and Disclosures. Goodwill as of the acquisition date is measured as the excess of consideration transferred, which is also generally measured at fair value, and the net of the acquisition date amounts of the identifiable assets acquired and the liabilities assumed. These allocations reflect various preliminary estimates and analyses, including preliminary work performed by third party valuation specialists, and are subject to change during the purchase price allocation period (generally one year from the acquisition date) as valuations are finalized.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OPI ACQUISITION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May 31, 2011, the Company completed its acquisition of OPI, pursuant to the Merger Agreement, dated as of April 30, 2011, with Merger Sub, OPI and Shareholder Representative Services LLC, a Colorado limited liability company. Under the terms of the Merger Agreement, Merger Sub merged with and into OPI and OPI survived as a wholly owned subsidiary of the Company (the “Merger”).</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aggregate consideration paid to OPI’s former stockholders in the Merger was $91,000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The total estimated purchase price of the acquisition is as follows: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920" w:type="dxa"/>
            <w:vAlign w:val="bottom"/>
            <w:vMerge w:val="restart"/>
          </w:tcPr>
          <w:p>
            <w:pPr>
              <w:spacing w:after="0"/>
              <w:rPr>
                <w:sz w:val="17"/>
                <w:szCs w:val="17"/>
                <w:color w:val="auto"/>
              </w:rPr>
            </w:pPr>
          </w:p>
        </w:tc>
        <w:tc>
          <w:tcPr>
            <w:tcW w:w="7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Less: OPI debt as of the acquisition date</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Add: Estimated working capital baseline and other adjustments as of the acquisition date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ind w:left="920"/>
              <w:spacing w:after="0"/>
              <w:rPr>
                <w:sz w:val="20"/>
                <w:szCs w:val="20"/>
                <w:color w:val="auto"/>
              </w:rPr>
            </w:pPr>
            <w:r>
              <w:rPr>
                <w:rFonts w:ascii="Arial" w:cs="Arial" w:eastAsia="Arial" w:hAnsi="Arial"/>
                <w:sz w:val="18"/>
                <w:szCs w:val="18"/>
                <w:color w:val="auto"/>
              </w:rPr>
              <w:t>Total estimated purchase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Preliminary Purchase Price Allocation</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Pursuant to the Company’s business combinations accounting policy, the total preliminary purchase price for OPI was allocated to the preliminary net tangible and intangible assets based upon their preliminary fair values as set forth below. The excess of the preliminary purchase price over the preliminary net tangible assets and preliminary intangible assets was recorded as goodwill. The Company acquired OPI to strengthen its position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 a provider of finance and accounting services. The Company’s finance and accounting outsourcing and transformation capabilities complement OPI’s end-to-end finance and accounting outsourcing capabilities and proprietary platforms. The Merger also furthers the Company’s strategic objective of leveraging technology and proprietary intellectual property in its service offerings. These factors contributed to a purchase price in excess of the fair value of the OPI net tangible and intangible assets acquired, and as a result, the Company has recorded goodwill in connection with this transaction.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preliminary purchase price allocation for OPI is as follows: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w:t>
            </w:r>
          </w:p>
        </w:tc>
        <w:tc>
          <w:tcPr>
            <w:tcW w:w="100" w:type="dxa"/>
            <w:vAlign w:val="bottom"/>
            <w:shd w:val="clear" w:color="auto" w:fill="CCEEFF"/>
          </w:tcPr>
          <w:p>
            <w:pPr>
              <w:spacing w:after="0"/>
              <w:rPr>
                <w:sz w:val="18"/>
                <w:szCs w:val="18"/>
                <w:color w:val="auto"/>
              </w:rPr>
            </w:pPr>
          </w:p>
        </w:tc>
      </w:tr>
      <w:tr>
        <w:trPr>
          <w:trHeight w:val="208"/>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4"/>
              </w:rPr>
              <w:t>Adjustment to recognize assets and liabilities at fair value, except deferred income taxes which are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recognized in accordance with ASC 740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9,049</w:t>
            </w:r>
          </w:p>
        </w:tc>
        <w:tc>
          <w:tcPr>
            <w:tcW w:w="1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(7,799)</w:t>
            </w: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Identifiable intangible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relationships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Favorable lease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name and trademarks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Non-compete agreements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54,314</w:t>
            </w:r>
          </w:p>
        </w:tc>
        <w:tc>
          <w:tcPr>
            <w:tcW w:w="100" w:type="dxa"/>
            <w:vAlign w:val="bottom"/>
            <w:shd w:val="clear" w:color="auto" w:fill="CCEEFF"/>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8080" w:type="dxa"/>
            <w:vAlign w:val="bottom"/>
            <w:gridSpan w:val="3"/>
          </w:tcPr>
          <w:p>
            <w:pPr>
              <w:ind w:left="660"/>
              <w:spacing w:after="0"/>
              <w:rPr>
                <w:sz w:val="20"/>
                <w:szCs w:val="20"/>
                <w:color w:val="auto"/>
              </w:rPr>
            </w:pPr>
            <w:r>
              <w:rPr>
                <w:rFonts w:ascii="Arial" w:cs="Arial" w:eastAsia="Arial" w:hAnsi="Arial"/>
                <w:sz w:val="18"/>
                <w:szCs w:val="18"/>
                <w:color w:val="auto"/>
              </w:rPr>
              <w:t>Total purchase price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100,923</w:t>
            </w:r>
          </w:p>
        </w:tc>
        <w:tc>
          <w:tcPr>
            <w:tcW w:w="10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7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260" w:type="dxa"/>
            <w:vAlign w:val="bottom"/>
          </w:tcPr>
          <w:p>
            <w:pPr>
              <w:jc w:val="right"/>
              <w:ind w:right="92"/>
              <w:spacing w:after="0"/>
              <w:rPr>
                <w:sz w:val="20"/>
                <w:szCs w:val="20"/>
                <w:color w:val="auto"/>
              </w:rPr>
            </w:pPr>
            <w:r>
              <w:rPr>
                <w:rFonts w:ascii="Arial" w:cs="Arial" w:eastAsia="Arial" w:hAnsi="Arial"/>
                <w:sz w:val="18"/>
                <w:szCs w:val="18"/>
                <w:color w:val="auto"/>
                <w:w w:val="84"/>
              </w:rPr>
              <w:t>*</w:t>
            </w:r>
          </w:p>
        </w:tc>
        <w:tc>
          <w:tcPr>
            <w:tcW w:w="8080" w:type="dxa"/>
            <w:vAlign w:val="bottom"/>
            <w:gridSpan w:val="3"/>
          </w:tcPr>
          <w:p>
            <w:pPr>
              <w:ind w:left="180"/>
              <w:spacing w:after="0"/>
              <w:rPr>
                <w:sz w:val="20"/>
                <w:szCs w:val="20"/>
                <w:color w:val="auto"/>
              </w:rPr>
            </w:pPr>
            <w:r>
              <w:rPr>
                <w:rFonts w:ascii="Arial" w:cs="Arial" w:eastAsia="Arial" w:hAnsi="Arial"/>
                <w:sz w:val="18"/>
                <w:szCs w:val="18"/>
                <w:color w:val="auto"/>
              </w:rPr>
              <w:t>Includes $14,000 deposited in an escrow account in connection with the acquisition.</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5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preliminary purchase price allocation is based on preliminary estimates and assumptions, and is subject to change during the purchase price measurement period as the Company finalizes the valuations of the tangible and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 FORMA ADJUSTMENTS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unaudited pro forma condensed combined statement of income gives effect to the following pro forma adjustments:</w:t>
      </w:r>
    </w:p>
    <w:p>
      <w:pPr>
        <w:spacing w:after="0" w:line="9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Adjustments to:</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increase stock-based compensation expense as a result of the Company granting restricted stock to former OPI employees on their hire date, May 31, 2011;</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amortize identifiable intangible assets recognized from the acquisition of OPI. The pro forma adjustment assumes that the identifiable intangibles will be amortized on a straight-line basis over their estimated lives; and</w:t>
      </w:r>
    </w:p>
    <w:p>
      <w:pPr>
        <w:spacing w:after="0" w:line="50" w:lineRule="exact"/>
        <w:rPr>
          <w:rFonts w:ascii="Arial" w:cs="Arial" w:eastAsia="Arial" w:hAnsi="Arial"/>
          <w:sz w:val="18"/>
          <w:szCs w:val="18"/>
          <w:color w:val="auto"/>
        </w:rPr>
      </w:pPr>
    </w:p>
    <w:p>
      <w:pPr>
        <w:ind w:left="900" w:right="540" w:hanging="325"/>
        <w:spacing w:after="0" w:line="332"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reflect merger-related transaction costs including advisory and legal fees incurred for the five months ended May 31, 2011, which are directly attributable to the Merger, but which are not expected to have a continuing impact on the combined entity’s results.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the summary of the adjustments specified above: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w w:val="87"/>
              </w:rPr>
              <w:t>Pro Forma Expense Adjustments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7"/>
          </w:tcPr>
          <w:p>
            <w:pPr>
              <w:jc w:val="right"/>
              <w:ind w:right="900"/>
              <w:spacing w:after="0"/>
              <w:rPr>
                <w:sz w:val="20"/>
                <w:szCs w:val="20"/>
                <w:color w:val="auto"/>
              </w:rPr>
            </w:pPr>
            <w:r>
              <w:rPr>
                <w:rFonts w:ascii="Arial" w:cs="Arial" w:eastAsia="Arial" w:hAnsi="Arial"/>
                <w:sz w:val="14"/>
                <w:szCs w:val="14"/>
                <w:b w:val="1"/>
                <w:bCs w:val="1"/>
                <w:color w:val="auto"/>
              </w:rPr>
              <w:t>For the Five Months Ended May 31, 2011</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0" w:type="dxa"/>
            <w:vAlign w:val="bottom"/>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86"/>
              </w:rPr>
              <w:t>Stock-based</w:t>
            </w:r>
          </w:p>
        </w:tc>
        <w:tc>
          <w:tcPr>
            <w:tcW w:w="74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Amortization of</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right"/>
              <w:ind w:right="900"/>
              <w:spacing w:after="0" w:line="129" w:lineRule="exact"/>
              <w:rPr>
                <w:sz w:val="20"/>
                <w:szCs w:val="20"/>
                <w:color w:val="auto"/>
              </w:rPr>
            </w:pPr>
            <w:r>
              <w:rPr>
                <w:rFonts w:ascii="Arial" w:cs="Arial" w:eastAsia="Arial" w:hAnsi="Arial"/>
                <w:sz w:val="14"/>
                <w:szCs w:val="14"/>
                <w:b w:val="1"/>
                <w:bCs w:val="1"/>
                <w:color w:val="auto"/>
                <w:w w:val="89"/>
              </w:rPr>
              <w:t>Merger-</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0"/>
              </w:rPr>
              <w:t>compensation</w:t>
            </w:r>
          </w:p>
        </w:tc>
        <w:tc>
          <w:tcPr>
            <w:tcW w:w="7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0"/>
              </w:rPr>
              <w:t>intangible assets</w:t>
            </w:r>
          </w:p>
        </w:tc>
        <w:tc>
          <w:tcPr>
            <w:tcW w:w="7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related costs</w:t>
            </w: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6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(3,090)</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(3,041)</w:t>
            </w: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1,380</w:t>
            </w:r>
          </w:p>
        </w:tc>
        <w:tc>
          <w:tcPr>
            <w:tcW w:w="100" w:type="dxa"/>
            <w:vAlign w:val="bottom"/>
            <w:shd w:val="clear" w:color="auto" w:fill="CCEEFF"/>
          </w:tcPr>
          <w:p>
            <w:pPr>
              <w:spacing w:after="0"/>
              <w:rPr>
                <w:sz w:val="18"/>
                <w:szCs w:val="18"/>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88"/>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1,380</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(3,090)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(1,612)</w:t>
            </w: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Adjustment to record a reduction in estimated interest income earned of $140 for the five months ended May 31, 2011 at an assumed rate of approximately 0.55% on cash and cash equivalents as a result of the cash payments associated with the Company’s acquisition of OPI.</w:t>
      </w:r>
    </w:p>
    <w:p>
      <w:pPr>
        <w:spacing w:after="0" w:line="4" w:lineRule="exact"/>
        <w:rPr>
          <w:rFonts w:ascii="Arial" w:cs="Arial" w:eastAsia="Arial" w:hAnsi="Arial"/>
          <w:sz w:val="16"/>
          <w:szCs w:val="16"/>
          <w:color w:val="auto"/>
        </w:rPr>
      </w:pPr>
    </w:p>
    <w:p>
      <w:pPr>
        <w:jc w:val="both"/>
        <w:ind w:left="460" w:right="10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record an increase in estimated interest expense of $135 for the five months ended May 31, 2011 as a result of the short-term borrowings by the Company of $30,000 under the Company’s revolver credit facility in connection with the acquisition. The estimate is based on the assumption that the short-term borrowings are being repaid within a year.</w:t>
      </w:r>
    </w:p>
    <w:p>
      <w:pPr>
        <w:spacing w:after="0" w:line="59" w:lineRule="exact"/>
        <w:rPr>
          <w:rFonts w:ascii="Arial" w:cs="Arial" w:eastAsia="Arial" w:hAnsi="Arial"/>
          <w:sz w:val="18"/>
          <w:szCs w:val="18"/>
          <w:color w:val="auto"/>
        </w:rPr>
      </w:pPr>
    </w:p>
    <w:p>
      <w:pPr>
        <w:ind w:left="460" w:right="60" w:hanging="452"/>
        <w:spacing w:after="0" w:line="30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Adjustment represents changes to income tax expense as a result of the consummation of this transaction. Had the Company acquired OPI on January 1, 2011, the income-tax expense for the five months ended May 31, 2011 would have increased by approximately $1,036. The increase in income tax expense is primarily due to deferred tax expense on utilization of net operating loss in the period presented.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selling stockholders named in the table below may from time to time offer and sell pursuant to this prospectus and any applicable prospectus supplement up to 5,552,504 shares of our common stock. When we refer to “selling stockholders” in this prospectus, we mean those persons listed in the table below, as well as their transferees, pledgees or donees or their successors. The selling stockholders may sell all, a portion or none of their shares at any time. The information regarding shares beneficially owned after the offering assumes the sale of all shares offered by the selling stockholders. Except as otherwise indicated, each selling stockholder has sole voting and dispositive power with respect to such shares.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Maximum</w:t>
            </w: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Shares Beneficially</w:t>
            </w:r>
          </w:p>
        </w:tc>
        <w:tc>
          <w:tcPr>
            <w:tcW w:w="3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Shares that</w:t>
            </w: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5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Owned Before the</w:t>
            </w:r>
          </w:p>
        </w:tc>
        <w:tc>
          <w:tcPr>
            <w:tcW w:w="3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20" w:type="dxa"/>
            <w:vAlign w:val="bottom"/>
            <w:gridSpan w:val="3"/>
            <w:vMerge w:val="restart"/>
          </w:tcPr>
          <w:p>
            <w:pPr>
              <w:jc w:val="center"/>
              <w:ind w:left="162"/>
              <w:spacing w:after="0" w:line="149" w:lineRule="exact"/>
              <w:rPr>
                <w:sz w:val="20"/>
                <w:szCs w:val="20"/>
                <w:color w:val="auto"/>
              </w:rPr>
            </w:pPr>
            <w:r>
              <w:rPr>
                <w:rFonts w:ascii="Arial" w:cs="Arial" w:eastAsia="Arial" w:hAnsi="Arial"/>
                <w:sz w:val="14"/>
                <w:szCs w:val="14"/>
                <w:b w:val="1"/>
                <w:bCs w:val="1"/>
                <w:color w:val="auto"/>
                <w:w w:val="90"/>
              </w:rPr>
              <w:t>Owned After the</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May be</w:t>
            </w:r>
          </w:p>
        </w:tc>
        <w:tc>
          <w:tcPr>
            <w:tcW w:w="122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0" w:type="dxa"/>
            <w:vAlign w:val="bottom"/>
            <w:gridSpan w:val="2"/>
            <w:vMerge w:val="restart"/>
          </w:tcPr>
          <w:p>
            <w:pPr>
              <w:jc w:val="center"/>
              <w:ind w:left="282"/>
              <w:spacing w:after="0"/>
              <w:rPr>
                <w:sz w:val="20"/>
                <w:szCs w:val="20"/>
                <w:color w:val="auto"/>
              </w:rPr>
            </w:pPr>
            <w:r>
              <w:rPr>
                <w:rFonts w:ascii="Arial" w:cs="Arial" w:eastAsia="Arial" w:hAnsi="Arial"/>
                <w:sz w:val="14"/>
                <w:szCs w:val="14"/>
                <w:b w:val="1"/>
                <w:bCs w:val="1"/>
                <w:color w:val="auto"/>
                <w:w w:val="89"/>
              </w:rPr>
              <w:t>Offering(1)</w:t>
            </w: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20" w:type="dxa"/>
            <w:vAlign w:val="bottom"/>
            <w:gridSpan w:val="3"/>
            <w:vMerge w:val="restart"/>
          </w:tcPr>
          <w:p>
            <w:pPr>
              <w:jc w:val="center"/>
              <w:ind w:left="162"/>
              <w:spacing w:after="0"/>
              <w:rPr>
                <w:sz w:val="20"/>
                <w:szCs w:val="20"/>
                <w:color w:val="auto"/>
              </w:rPr>
            </w:pPr>
            <w:r>
              <w:rPr>
                <w:rFonts w:ascii="Arial" w:cs="Arial" w:eastAsia="Arial" w:hAnsi="Arial"/>
                <w:sz w:val="14"/>
                <w:szCs w:val="14"/>
                <w:b w:val="1"/>
                <w:bCs w:val="1"/>
                <w:color w:val="auto"/>
                <w:w w:val="91"/>
              </w:rPr>
              <w:t>Offering</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6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1200" w:type="dxa"/>
            <w:vAlign w:val="bottom"/>
            <w:tcBorders>
              <w:bottom w:val="single" w:sz="8" w:color="auto"/>
            </w:tcBorders>
            <w:gridSpan w:val="2"/>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Sold</w:t>
            </w:r>
          </w:p>
        </w:tc>
        <w:tc>
          <w:tcPr>
            <w:tcW w:w="1220" w:type="dxa"/>
            <w:vAlign w:val="bottom"/>
            <w:tcBorders>
              <w:bottom w:val="single" w:sz="8" w:color="auto"/>
            </w:tcBorders>
            <w:gridSpan w:val="3"/>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5300" w:type="dxa"/>
            <w:vAlign w:val="bottom"/>
            <w:vMerge w:val="restart"/>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5300" w:type="dxa"/>
            <w:vAlign w:val="bottom"/>
            <w:vMerge w:val="continue"/>
          </w:tcPr>
          <w:p>
            <w:pPr>
              <w:spacing w:after="0"/>
              <w:rPr>
                <w:sz w:val="14"/>
                <w:szCs w:val="14"/>
                <w:color w:val="auto"/>
              </w:rPr>
            </w:pPr>
          </w:p>
        </w:tc>
        <w:tc>
          <w:tcPr>
            <w:tcW w:w="120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jc w:val="right"/>
              <w:ind w:right="36"/>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0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Hereunder</w:t>
            </w:r>
          </w:p>
        </w:tc>
        <w:tc>
          <w:tcPr>
            <w:tcW w:w="1220" w:type="dxa"/>
            <w:vAlign w:val="bottom"/>
            <w:gridSpan w:val="3"/>
          </w:tcPr>
          <w:p>
            <w:pPr>
              <w:ind w:left="180"/>
              <w:spacing w:after="0" w:line="148"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Oak Hill Capital Partners, L.P.(2)</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5,403,942</w:t>
            </w: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17.3</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5,403,942</w:t>
            </w: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Oak Hill Capital Management Partners, L.P.(2)</w:t>
            </w:r>
          </w:p>
        </w:tc>
        <w:tc>
          <w:tcPr>
            <w:tcW w:w="760" w:type="dxa"/>
            <w:vAlign w:val="bottom"/>
          </w:tcPr>
          <w:p>
            <w:pPr>
              <w:jc w:val="right"/>
              <w:spacing w:after="0"/>
              <w:rPr>
                <w:sz w:val="20"/>
                <w:szCs w:val="20"/>
                <w:color w:val="auto"/>
              </w:rPr>
            </w:pPr>
            <w:r>
              <w:rPr>
                <w:rFonts w:ascii="Arial" w:cs="Arial" w:eastAsia="Arial" w:hAnsi="Arial"/>
                <w:sz w:val="18"/>
                <w:szCs w:val="18"/>
                <w:color w:val="auto"/>
              </w:rPr>
              <w:t>138,562</w:t>
            </w:r>
          </w:p>
        </w:tc>
        <w:tc>
          <w:tcPr>
            <w:tcW w:w="440" w:type="dxa"/>
            <w:vAlign w:val="bottom"/>
          </w:tcPr>
          <w:p>
            <w:pPr>
              <w:spacing w:after="0"/>
              <w:rPr>
                <w:sz w:val="18"/>
                <w:szCs w:val="18"/>
                <w:color w:val="auto"/>
              </w:rPr>
            </w:pPr>
          </w:p>
        </w:tc>
        <w:tc>
          <w:tcPr>
            <w:tcW w:w="3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138,562</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Talwar 1994 Trust(3)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840,413</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835,413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Rohit Kapoor(4)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2,243,046</w:t>
            </w: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5,000</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2,238,046</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right="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pursuant to Rule 13d-3 of the Securities Exchange Act of 1934, as amended (the “Exchange Act”), as of December 31, 2011, at which date there were 31,173,064 aggregate shares of common stock outstanding.</w:t>
      </w:r>
    </w:p>
    <w:p>
      <w:pPr>
        <w:spacing w:after="0" w:line="50" w:lineRule="exact"/>
        <w:rPr>
          <w:rFonts w:ascii="Arial" w:cs="Arial" w:eastAsia="Arial" w:hAnsi="Arial"/>
          <w:sz w:val="18"/>
          <w:szCs w:val="18"/>
          <w:color w:val="auto"/>
        </w:rPr>
      </w:pPr>
    </w:p>
    <w:p>
      <w:pPr>
        <w:ind w:left="460" w:right="80" w:hanging="452"/>
        <w:spacing w:after="0" w:line="308"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business address of each of Oak Hill Capital Partners, L.P. and Oak Hill Capital Management Partners, L.P. (together, the “Oak Hill Partnerships”) is 201 Main Street, Suite 1018, Fort Worth, TX 76102. OHCP MGP, LLC is the sole general partner of OHCP GenPar, L.P., which is the sole general partner of Oak Hill Capital Management Partners, L.P. and Oak Hill Capital Partners, L.P., respectively. OHCP MGP, LLC exercises voting and dispositive control over the shares held by Oak Hill Capital Management Partners, L.P. and Oak Hill Capital Partners, L.P., respectively. Investment and voting decisions with regard to the shares of the Company’s common stock owned by the Oak Hill Partnerships are made by an investment committee of OHCP MGP, LLC. The members of such committee are J. Taylor Crandall, Jonathan E. Friesel, Michael S. Green, Steven B. Gruber, Stratton R. Heath III, Robert L. Morse Jr. and Dennis J. Nayden. Each of these individuals disclaims beneficial ownership of the shares owned by the Oak Hill Partnerships. The shares registered hereunder by the Oak Hill Partnerships consist of shares of common stock that were acquired in transactions completed in connection with the acquisition of the Company’s business from Conseco in 2002 (the “Conseco Acquisition”) and shares of common stock that were issued in connection with a share split of our common stock completed prior to the completion of our initial public offering in October 2006 (the “Share Split”).</w:t>
      </w:r>
    </w:p>
    <w:p>
      <w:pPr>
        <w:spacing w:after="0" w:line="28" w:lineRule="exact"/>
        <w:rPr>
          <w:rFonts w:ascii="Arial" w:cs="Arial" w:eastAsia="Arial" w:hAnsi="Arial"/>
          <w:sz w:val="15"/>
          <w:szCs w:val="15"/>
          <w:color w:val="auto"/>
        </w:rPr>
      </w:pPr>
    </w:p>
    <w:p>
      <w:pPr>
        <w:jc w:val="both"/>
        <w:ind w:left="460" w:right="20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Vikram Talwar, our Chairman, and his spouse are the trustees of this trust and share dispositive and voting control over the shares in the trust. The shares registered hereunder by this trust consist of shares of common stock acquired by this trust from Mr. Talwar in transactions completed prior to January 19, 2012.</w:t>
      </w:r>
    </w:p>
    <w:p>
      <w:pPr>
        <w:spacing w:after="0" w:line="59"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177,134 shares of our common stock owned indirectly by Mr. Kapoor through a grantor retained annuity trust. Mr. Kapoor is the sole trustee of this trust. This amount also includes 84,000 shares of our common stock owned indirectly by Mr. Kapoor through a spousal lifetime access trust for Mr. Kapoor’s spouse. Mr. Kapoor and Mr. Kapoor’s sister-in-law are the trustees of this trust and share dispositive and voting control over the shares in the trust. This amount includes 501,349 shares of our common stock of which Mr. Kapoor has the right to acquire beneficial ownership within 60 days of December 31, 2011. The shares registered hereunder by Mr. Kapoor consist of shares of common stock that were acquired in transactions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completed in connection with the Conseco Acquisition, shares of common stock that were issued in connection with the Share Split and shares of common stock acquired pursuant to our equity compensation plans to the extent such shares were received prior to January 19,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Selling Stockholders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Vikram Talwar, one of the co-trustees of The Talwar 1994 Trust, one of the selling stockholders included in this prospectus, has served as our Chairman since April 2011. Mr. Talwar served as our Chief Executive Officer and Vice Chairman of our board of directors from November 2002 to April 2008, as our Executive Chairman from May 2008 to March 2011 and as Chief Executive Officer of EXL Inc. since April 1999.</w:t>
      </w:r>
    </w:p>
    <w:p>
      <w:pPr>
        <w:spacing w:after="0" w:line="10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Rohit Kapoor has served as our President and Chief Executive Officer since May 2008 and as a director since November 2002. In addition, Mr. Kapoor served as our Chief Financial Officer from August 2006 to March 2007, as our Chief Operating Officer from June 2007 until April 2008 and as President and Chief Financial Officer of EXL Inc. since August 2000.</w:t>
      </w:r>
    </w:p>
    <w:p>
      <w:pPr>
        <w:spacing w:after="0" w:line="14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Oak Hill Partnerships are one of the Company’s significant stockholders. Steven B. Gruber, our Lead Director, is a Managing Partner of Oak Hill Capital Management, LLC, the investment advisor to the Oak Hill Partnerships, and Edward V. Dardani, one of our directors, is a Partner of Oak Hill Capital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Transactions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January 15, 2008, the Company acquired net assets for a consideration of $1,508,049 plus contingent consideration earned during the year ended December 31, 2008 of $460,467, for a total of $1,968,516, from a company controlled by entities related to the Oak Hill Partnerships. The Company recorded expenses of $0 for year ended December 31, 2008 for transition services performed by the seller prior to acquisition. As of December 31, 2008 the Company had a balance payable of $0 related to these services.</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provide transformation services to Duane Reade Holdings, Inc., a New York City drugstore chain. Duane Reade Holdings, Inc. was, until April 2010, indirectly owned by entities related to the Oak Hill Partnerships. We recognized revenue of approximately $17,000 (until April 2010), $536,890 and $628,090 in the years ended December 31, 2010, 2009 and 2008, respectively, for fees and expense reimbursements from Duane Reade Holdings, Inc. At December 31, 2010, we had no account receivable related to these services.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provide services to Oak Hill Capital Partners, one of the Company’s significant stockholders. We recognized revenue of $82,000 in the year ended December 31, 2010 for fees and expense reimbursements from Oak Hill Capital Partners. At December 31, 2010, we had an account receivable of $9,000 related to these services.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following description of our capital stock summarizes certain terms and provisions of our common stock and preferred stock, par value $0.001 per share, to which any prospectus supplement may relate. This section also summarizes relevant provisions of Delaware law. The following description of our common stock and preferred stock does not purport to be complete and is subject to, and is qualified in its entirety by reference to, the applicable provisions of Delaware law and our Amended and Restated Certificate of Incorporation and our Third Amended and Restated Bylaws, copies of which have been filed with the SEC as exhibits to the registration statement of which this prospectus forms a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the date of this prospectus, our authorized capital stock consists of 100,000,000 shares of common stock and 15,000,000 of preferred stock. As of December 31, 2011, we had 31,173,064 outstanding shares of common stock, excluding 323,397 shares held in treasury and 63,834 shares of restricted stock, and no shares of preferred stock outstanding.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there were approximately 20 holders of record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authorized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certificate of incorporation provides that a director will not be personally liable to us or our stockholders for monetary damages for breach of fiduciary duty as a director, except:</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liability under Section 174 of the Delaware General Corporation Law (relating to unlawful dividends, stock repurchases, or stock redemptions);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7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do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5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Our board is divided into three classes. The directors in each class serve for a three-year term, one class being elected each year by our stockholders. Our stockholders may only remove directors for cause and with the vote of at least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total voting power of our issued and outstanding capital stock entitled to vote in the election of directors. Our board of directors may elect a director to fill a vacancy, including vacancies created by the expansion of the board of directors.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do not provide for cumulative voting in the election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Our certificate of incorporation provides that the affirmative vote of the holders of at least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voting power of our issued and outstanding capital stock entitled to vote in the election of directors, is required to amend the following provisions of our certificate of incorporation:</w:t>
      </w:r>
    </w:p>
    <w:p>
      <w:pPr>
        <w:spacing w:after="0" w:line="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 for the amendment of certain provisions of our articles of incorporation and for the adoption, amendment or repeal of our by-laws;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addition, the board of directors is permitted to alter our by-laws without obtaining stockholder approval and the affirmative vote of holders of at least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voting power of our issued and outstanding capital stock entitled to vote in the election of directors will be required for any amendment to our by-laws by the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96" w:lineRule="exact"/>
        <w:rPr>
          <w:sz w:val="20"/>
          <w:szCs w:val="20"/>
          <w:color w:val="auto"/>
        </w:rPr>
      </w:pPr>
    </w:p>
    <w:p>
      <w:pPr>
        <w:ind w:right="460" w:firstLine="456"/>
        <w:spacing w:after="0" w:line="335" w:lineRule="auto"/>
        <w:rPr>
          <w:sz w:val="20"/>
          <w:szCs w:val="20"/>
          <w:color w:val="auto"/>
        </w:rPr>
      </w:pPr>
      <w:r>
        <w:rPr>
          <w:rFonts w:ascii="Arial" w:cs="Arial" w:eastAsia="Arial" w:hAnsi="Arial"/>
          <w:sz w:val="15"/>
          <w:szCs w:val="15"/>
          <w:color w:val="auto"/>
        </w:rPr>
        <w:t>We are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DEBT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description of the terms of our senior debt securities and subordinated debt securities (together, the “</w:t>
      </w:r>
      <w:r>
        <w:rPr>
          <w:rFonts w:ascii="Arial" w:cs="Arial" w:eastAsia="Arial" w:hAnsi="Arial"/>
          <w:sz w:val="16"/>
          <w:szCs w:val="16"/>
          <w:i w:val="1"/>
          <w:iCs w:val="1"/>
          <w:color w:val="auto"/>
        </w:rPr>
        <w:t>debt securities</w:t>
      </w:r>
      <w:r>
        <w:rPr>
          <w:rFonts w:ascii="Arial" w:cs="Arial" w:eastAsia="Arial" w:hAnsi="Arial"/>
          <w:sz w:val="16"/>
          <w:szCs w:val="16"/>
          <w:color w:val="auto"/>
        </w:rPr>
        <w:t>”) sets forth certain general terms and provisions of the debt securities to which any prospectus supplement may relate. Unless otherwise noted, the general terms and provisions of our debt securities discussed below apply to both our senior debt securities and our subordinated debt securities. Our debt securities may be issued from time to time in one or more series. The particular terms of any series of debt securities and the extent to which the general provisions may apply to a particular series of debt securities will be described in the prospectus supplement relating to that series.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senior debt securities will be issued under an indenture between us and U.S. Bank National Association, as Senior Indenture Trustee (the “</w:t>
      </w:r>
      <w:r>
        <w:rPr>
          <w:rFonts w:ascii="Arial" w:cs="Arial" w:eastAsia="Arial" w:hAnsi="Arial"/>
          <w:sz w:val="16"/>
          <w:szCs w:val="16"/>
          <w:i w:val="1"/>
          <w:iCs w:val="1"/>
          <w:color w:val="auto"/>
        </w:rPr>
        <w:t>senior</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The subordinated debt securities will be issued under an indenture between us and U.S. Bank National Association, as Subordinated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(the “</w:t>
      </w:r>
      <w:r>
        <w:rPr>
          <w:rFonts w:ascii="Arial" w:cs="Arial" w:eastAsia="Arial" w:hAnsi="Arial"/>
          <w:sz w:val="16"/>
          <w:szCs w:val="16"/>
          <w:i w:val="1"/>
          <w:iCs w:val="1"/>
          <w:color w:val="auto"/>
        </w:rPr>
        <w:t>subordinated indenture</w:t>
      </w:r>
      <w:r>
        <w:rPr>
          <w:rFonts w:ascii="Arial" w:cs="Arial" w:eastAsia="Arial" w:hAnsi="Arial"/>
          <w:sz w:val="16"/>
          <w:szCs w:val="16"/>
          <w:color w:val="auto"/>
        </w:rPr>
        <w:t>” and, together with the senior indenture, the “</w:t>
      </w:r>
      <w:r>
        <w:rPr>
          <w:rFonts w:ascii="Arial" w:cs="Arial" w:eastAsia="Arial" w:hAnsi="Arial"/>
          <w:sz w:val="16"/>
          <w:szCs w:val="16"/>
          <w:i w:val="1"/>
          <w:iCs w:val="1"/>
          <w:color w:val="auto"/>
        </w:rPr>
        <w:t>indentures</w:t>
      </w:r>
      <w:r>
        <w:rPr>
          <w:rFonts w:ascii="Arial" w:cs="Arial" w:eastAsia="Arial" w:hAnsi="Arial"/>
          <w:sz w:val="16"/>
          <w:szCs w:val="16"/>
          <w:color w:val="auto"/>
        </w:rPr>
        <w:t>”). The Senior Indenture Trustee and the Subordinated Indenture Trustee are both referred to, individually, as the “Trustee.” The senior debt securities will constitute our unsecured and unsubordinated obligations and the subordinated debt securities will constitute our unsecured and subordinated obligations. A detailed description of the subordination provisions is provided below under the caption “—Ranking and Subordination—Subordination.” In general, however, if we declare bankruptcy, holders of the senior debt securities will be paid in full before the holders of subordinated debt securities will receive anything.</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statements set forth below are brief summaries of certain provisions contained in the indentures, which summaries do not purport to be complete and are qualified in their entirety by reference to the indentures, which are incorporated by reference as exhibits or filed as exhibits to the registration statement of which this prospectus forms a part. Terms used herein that are otherwise not defined shall have the meanings given to them in the indentures. Such defined terms shall be incorporated herein by reference.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indentures will not limit the amount of debt securities that may be issued under the applicable indenture and debt securities may be issued under the applicable indenture up to the aggregate principal amount that may be authorized from time to time by us. Any such limit applicable to a particular series will be specified in the prospectus supplement relating to that series.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prospectus supplement relating to any series of debt securities in respect to which this prospectus is being delivered will contain the following terms, among others, for each such series of debt securities: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and issue date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on which the principal of the debt securities is payable;</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or rates (or manner of calculation thereof), if any, per annum at which the debt securities will bear interest, if any, the date or dates from which interest will accrue and the interest payment date or dates for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debt securities which may be authenticated and delivered under the applicable indenture;</w:t>
      </w:r>
    </w:p>
    <w:p>
      <w:pPr>
        <w:spacing w:after="0" w:line="113"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period or periods within which, the redemption price or prices or the repayment price or prices, as the case may be, at which, and the terms and conditions upon which, the debt securities may be redeemed at our option or the option of the holder of such debt securities;</w:t>
      </w:r>
    </w:p>
    <w:p>
      <w:pPr>
        <w:spacing w:after="0" w:line="4"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obligation, if any, of ExlService to purchase the debt securities pursuant to any sinking fund or analogous provisions or at the option of a holder of such debt securities and the period or periods within which, the price or prices at which and the terms and conditions upon which such debt securities will be purchased, in whole or in part, pursuant to such obligation;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debt securities will be issuable;</w:t>
      </w:r>
    </w:p>
    <w:p>
      <w:pPr>
        <w:spacing w:after="0" w:line="113" w:lineRule="exact"/>
        <w:rPr>
          <w:rFonts w:ascii="Arial" w:cs="Arial" w:eastAsia="Arial" w:hAnsi="Arial"/>
          <w:sz w:val="16"/>
          <w:szCs w:val="16"/>
          <w:color w:val="auto"/>
        </w:rPr>
      </w:pPr>
    </w:p>
    <w:p>
      <w:pPr>
        <w:ind w:left="900" w:right="68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provisions, if any, with regard to the conversion or exchange of the debt securities, at the option of the holders of such debt securities or the Company, as the case may be, for or into new securities of a different series, our common stock or other securities;</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other than U.S. dollars, the currency or currencies or units based on or related to currencies in which the debt securities will be denominated and in which payments of principal of, and any premium and interest on, such debt securities shall or may be payable;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the debt securities are to be payable, at the election of the Company or a holder of such debt securities, in a currency (including a composite currency) other than that in which such debt securities are stated to be payable, the period or periods within which, and the terms and conditions upon which, such election may be made;</w:t>
      </w:r>
    </w:p>
    <w:p>
      <w:pPr>
        <w:spacing w:after="0" w:line="59"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if any, on the debt securities may be determined with reference to an index based on a currency (including a composite currency) other than that in which such debt securities are stated to be payable, the manner in which such amounts shall be determined;</w:t>
      </w:r>
    </w:p>
    <w:p>
      <w:pPr>
        <w:spacing w:after="0" w:line="59" w:lineRule="exact"/>
        <w:rPr>
          <w:rFonts w:ascii="Arial" w:cs="Arial" w:eastAsia="Arial" w:hAnsi="Arial"/>
          <w:sz w:val="18"/>
          <w:szCs w:val="18"/>
          <w:color w:val="auto"/>
        </w:rPr>
      </w:pPr>
    </w:p>
    <w:p>
      <w:pPr>
        <w:ind w:left="900" w:right="200" w:hanging="325"/>
        <w:spacing w:after="0" w:line="35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provisions, if any, related to the exchange of the debt securities, at the option of the holders of such debt securities, for other securities of the same series of the same aggregate principal amount or of a different authorized series or different authorized denomination or denominations, or both;</w:t>
      </w:r>
    </w:p>
    <w:p>
      <w:pPr>
        <w:ind w:left="900" w:right="42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portion of the principal amount of the debt securities, if other than the principal amount thereof, which shall be payable upon declaration of acceleration of the maturity thereof as more fully described under the section “—Events of Default, Notice and Waiver” below;</w:t>
      </w:r>
    </w:p>
    <w:p>
      <w:pPr>
        <w:spacing w:after="0" w:line="4"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 and, if so, the identity of the depositary with respect to such global securities;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subordinated debt securities only, the amendment or modification of the subordination provisions in the subordinated indenture with respect to the debt securities;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specific terms.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issue debt securities of any series at various times and we may reopen any series for further issuances from time to time without notice to existing holders of securities of that series.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Some of the debt securities may be issued as original issue discount debt securities. Original issue discount debt securities bear no interest or bear interest at below-market rates. These are sold at a discount below their stated principal amount. If we issue these securities, the prospectus supplement relating to such series of debt securities will describe any special tax, accounting or other information which we think is important. We encourage you to consult with your own competent tax and financial advisors on these important matters.</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Unless we specify otherwise in the applicable prospectus supplement relating to such series of debt securities, the covenants contained in the indentures will not provide special protection to holders of debt securities if we enter into a highly leveraged transaction, recapitalization or restructuring.</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Unless otherwise set forth in the prospectus supplement relating to such series of debt securities, interest on outstanding debt securities will be paid to holders of record on the date that is 15 days prior to the date such interest is to be paid or, if not a business day, the next preceding business day. Unless otherwise specified in the prospectus supplement, debt securities will be issued in fully registered form only. Unless otherwise specified in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prospectus supplement, the principal amount of the debt securities will be payable at the corporate trust office of the Trustee in New York, New York. The debt securities may be presented for transfer or exchange at such office unless otherwise specified in the prospectus supplement, subject to the limitations provided in the applicable indenture, without any service charge, but we may require payment of a sum sufficient to cover any tax or other governmental charges payable in connection therewith.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Subordination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debt securities will effectively rank junior in right of payment to any of our current or future secured obligations to the extent of the value of the assets securing such obligations. The debt securities will be effectively subordinated to all existing and future liabilities, including indebtedness and trade payables, of our subsidiaries. Unless otherwise set forth in the prospectus supplement relating to such series of debt securities, the indentures will not limit the amount of unsecured indebtedness or other liabilities that can be incurred by our subsidiaries.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Ranking of Debt Securities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senior debt securities described in this prospectus will be unsecured, senior obligations of the Company and will rank equally with our other unsecured and unsubordinated obligations. The subordinated debt securities will be unsecured, subordinated obligations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Subordination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issued, the indebtedness evidenced by the subordinated debt securities will be subordinate to the prior payment in full of all our Senior Indebtedness (as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Senior Indebtedness</w:t>
      </w:r>
      <w:r>
        <w:rPr>
          <w:rFonts w:ascii="Arial" w:cs="Arial" w:eastAsia="Arial" w:hAnsi="Arial"/>
          <w:sz w:val="16"/>
          <w:szCs w:val="16"/>
          <w:color w:val="auto"/>
        </w:rPr>
        <w:t>”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2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the indebtedness of that person for borrowed money,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of the indebtedness of that person evidenced by notes, debentures, bonds or other similar instruments sold by that person for money;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in each case, that the person, in any manner, assumes or guarantees or that the person in effect guarantees through an agreement to purchase, whether that agreement is contingent or otherwise;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the Company constitute Senior Indebtedness for purposes of the subordinated indenture.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subordinated indenture, the subordinated indenture may not be amended, at any time, to alter the subordination provisions of any outstanding subordinated debt securities without the consent of the requisite holders of each outstanding series or class of Senior Indebtedness (as determined in accordance with the instrument governing such Senior Indebtedness) that would be adversely affected thereby.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we specify otherwise in the applicable prospectus supplement, we may redeem any of the debt securities as a whole at any time or in part from time to time, at our option, on at least 15 days, but not more than 45 days, prior notice mailed to the registered address of each holder of the debt securities to be redeemed, at respective redemption prices equal to the greater of:</w:t>
      </w:r>
    </w:p>
    <w:p>
      <w:pPr>
        <w:spacing w:after="0" w:line="5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of the principal amount of the debt securities to be redeemed,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as defined below, discounted to the redemption date, on a semi-annual basis, assuming a 360 day year consisting of twelve 30 day months, at the Treasury Rate, as defined below, plus the number, if any, of basis points specified in the applicable prospectus supplement;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to the date of redemption that has not been paid (such redemption price, the “Redemption Price”).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with respect to the debt securities, the United States Treasury security selected by an Independent Investment Banker as having a maturity comparable to the remaining term (“Remaining Life”) of the debt securities being redeemed that would be utilized, at the time of selection and in accordance with customary financial practice, in pricing new issues of corporate debt securities of comparable maturity to the Remaining Life of such debt securities.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for the debt securities: (1) the average of two Reference Treasury Dealer Quotations for that redemption date, after excluding the highest and lowest of four such Reference Treasury Dealer Quotations; or (2) if the Trustee obtains fewer than four Reference Treasury Dealer Quotations, the average of all quotations obtained by the Trustee.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to be appointed by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four primary U.S. Government securities dealers to be selected by us.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3:00 p.m., New York City time, on the third business day preceding such redemption date.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Scheduled Payments</w:t>
      </w:r>
      <w:r>
        <w:rPr>
          <w:rFonts w:ascii="Arial" w:cs="Arial" w:eastAsia="Arial" w:hAnsi="Arial"/>
          <w:sz w:val="18"/>
          <w:szCs w:val="18"/>
          <w:color w:val="auto"/>
        </w:rPr>
        <w:t>” means, with respect to each debt security to be redeemed, the remaining scheduled payments of the principal thereof and interest thereon that would be due after the related redemption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date but for such redemption; provided, however, that, if such redemption date is not an interest payment date with respect to such debt security, the amount of the next succeeding scheduled interest payment thereon will be deemed to be reduced by the amount of interest accrued thereon to such redemption date.</w:t>
      </w:r>
    </w:p>
    <w:p>
      <w:pPr>
        <w:spacing w:after="0" w:line="8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for the debt securities: (1)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debt securities adjusted to constant maturity under the caption “Treasury Constant Maturities,” for the maturity corresponding to the Comparable Treasury Issue; provided that if no maturity is within three months before or after the maturity date for the debt securities, yields for the two published maturities most closely corresponding to the Comparable Treasury Issue will be determined and the Treasury Rate will be interpolated or extrapolated from those yields on a straight line basis, rounding to the nearest month; or (2) if that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that redemption date. The Treasury Rate will be calculated on the third business day preceding the redemption date.</w:t>
      </w:r>
    </w:p>
    <w:p>
      <w:pPr>
        <w:spacing w:after="0" w:line="12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On and after the redemption date, interest will cease to accrue on the debt securities or any portion thereof called for redemption, unless we default in the payment of the Redemption Price, and accrued interest. On or before the redemption date, we shall deposit with a paying agent, or the applicable Trustee, money sufficient to pay the Redemption Price of and accrued interest on the debt securities to be redeemed on such date. If we elect to redeem less than all of the debt securities of a series, then the Trustee will select the particular debt securities of such series to be redeemed in a manner it deems appropriate and fair.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Conveyance or Transfer on Certain Terms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so long as any debt securities are outstanding, except as described in the applicable prospectus supplement relating to such debt securities, we will not consolidate with or merge into any other entity or convey or transfer its properties and assets substantially as an entirety to any entity, unless:</w:t>
      </w:r>
    </w:p>
    <w:p>
      <w:pPr>
        <w:spacing w:after="0" w:line="4" w:lineRule="exact"/>
        <w:rPr>
          <w:sz w:val="20"/>
          <w:szCs w:val="20"/>
          <w:color w:val="auto"/>
        </w:rPr>
      </w:pPr>
    </w:p>
    <w:p>
      <w:pPr>
        <w:ind w:left="900" w:right="40" w:hanging="325"/>
        <w:spacing w:after="0" w:line="25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entity formed by such consolidation or into which the Company is merged or the entity that acquires by conveyance or transfer the properties and assets of the Company substantially as an entirety will expressly assume, by supplemental indenture, executed and delivered to the Trustee, in form reasonably satisfactory to the Trustee, the due and punctual payment of the principal of (and premium, if any) and interest on all the debt securities and the performance of every covenant of the applicable indenture (as supplemented from time to time) on the part of the Company to be performed or observed;</w:t>
      </w:r>
    </w:p>
    <w:p>
      <w:pPr>
        <w:spacing w:after="0" w:line="61"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(as defined below), and no event which, after notice or lapse of time, or both, would become an Event of Default, shall have happened and be continuing;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or transfer and such supplemental indenture comply with this covenant and that all conditions precedent provided for relating to such transaction have been complied with.</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any consolidation or merger, or any conveyance or transfer of the properties and assets of the Company substantially as an entirety as set forth above, the successor person formed by such consolidation or into which we are merged or to which such conveyance or transfer is made shall succeed to, and be substituted for, and may exercise every right and power of the Company under the applicable indenture with the same effect as if such successor had been named as the Company in the applicable indenture. In the event of any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conveyance or transfer, the Company as the predecessor shall be discharged from all obligations and covenants under the applicable indenture and the debt securities issued under such indenture and may be dissolved, wound up or liquidated at any time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covenants of the Company pertaining to a series of debt securities will be set forth in a prospectus supplement relating to such series of debt securities.</w:t>
      </w:r>
    </w:p>
    <w:p>
      <w:pPr>
        <w:spacing w:after="0" w:line="20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Except as described in the prospectus and any applicable prospectus supplement relating to such series of debt securities, the indentures and the debt securities do not contain any covenants or other provisions designed to afford holders of debt securities protection in the event of a recapitalization or highly leveraged transaction involving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certain of the terms defined in the indentures: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as such principles are in effect in the United States as of the date of the applicable indenture.</w:t>
      </w:r>
    </w:p>
    <w:p>
      <w:pPr>
        <w:spacing w:after="0" w:line="194"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any Subsidiary which would be a “significant subsidiary” as defined in Article 1, Rule 1-02 of Regulation S-X, promulgated pursuant to the Securities Act of 1933, as amended, as in effect on the date of the applicable indenture.</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set forth in the prospectus supplement relating to the debt securities, each indenture will provide that we, at our option,</w:t>
      </w:r>
    </w:p>
    <w:p>
      <w:pPr>
        <w:spacing w:after="0" w:line="113" w:lineRule="exact"/>
        <w:rPr>
          <w:sz w:val="20"/>
          <w:szCs w:val="20"/>
          <w:color w:val="auto"/>
        </w:rPr>
      </w:pPr>
    </w:p>
    <w:p>
      <w:pPr>
        <w:ind w:left="900" w:right="2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 be discharged from any and all obligations in respect of any series of debt securities (except in each case for certain obligations to register the transfer or exchange of debt securities, replace stolen, lost or mutilated debt securities, maintain paying agencies and hold monies for payment in trust), or</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need not comply with any restrictive covenants described in a prospectus supplement relating to such series of debt securities and certain Events of Default (other than those arising out of the failure to pay interest or principal on the debt securities of a particular series and certain events of bankruptcy, insolvency and reorganization) will no longer constitute Events of Default with respect to such series of debt securities,</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each case, if we deposit with the Trustee, in trust, money or the equivalent in securities of the government which issued the currency in which the debt securities are denominated or government agencies backed by the full faith and credit of such government, or a combination thereof, which through the payment of interest thereon and principal thereof in accordance with their terms will provide money in an amount sufficient to pay all the principal (including any mandatory sinking fund payments) of, and interest on, such series on the dates such payments are due in accordance with the terms of such series.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 exercise any such option, we are required, among other things, to deliver to the Trustee an opinion of counsel to the effect that the deposit and related defeasance would not cause the holders of such series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recognize income, gain or loss for federal income tax purposes and, in the case of a discharge pursuant to clause (a) above, accompanied by a ruling to such effect received from or published by the U.S. Internal Revenue Service.</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we are required to deliver to the Trustee an officers’ certificate stating that such deposit was not made by us with the intent of preferring the holders over other creditors of ours or with the intent of defeating, hindering, delaying or defrauding creditors of ours or others.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Except as otherwise set forth in the prospectus supplement relating to such series of debt securities, each indenture will provide that, if an Event of Default specified therein with respect to any series of debt securities issued thereunder shall have happened and be continuing, either the Trustee thereunder or the holders of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in aggregate principal amount of the outstanding debt securities of such series (or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aggregate principal amount of all outstanding debt securities under such indenture, in the case of certain Events of Default affecting all series of debt securities issued under such indenture) may declare the principal of all the debt securities of such series to be due and payable.</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set forth in the prospectus supplement relating to such series of debt securities, an “Event of Default” in respect of any series will be defined in the indentures as being any one of the following events:</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for 30 days in payment of any interest installment with respect to such series;</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default in payment of principal of, or premium, if any, on, or any sinking or purchase fund or analogous obligation with respect to, debt securities of such series when due at their stated maturity, by declaration or acceleration, when called for redemption or otherwise;</w:t>
      </w:r>
    </w:p>
    <w:p>
      <w:pPr>
        <w:spacing w:after="0" w:line="4"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default for 90 days after written notice to us by the Trustee thereunder or by holders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aggregate principal amount of the outstanding debt securities of such series in the performance, or breach, of any covenant or warranty pertaining to debt securities of such series; and</w:t>
      </w:r>
    </w:p>
    <w:p>
      <w:pPr>
        <w:spacing w:after="0" w:line="4" w:lineRule="exact"/>
        <w:rPr>
          <w:rFonts w:ascii="Arial" w:cs="Arial" w:eastAsia="Arial" w:hAnsi="Arial"/>
          <w:sz w:val="16"/>
          <w:szCs w:val="16"/>
          <w:color w:val="auto"/>
        </w:rPr>
      </w:pPr>
    </w:p>
    <w:p>
      <w:pPr>
        <w:ind w:left="900" w:right="34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certain events of bankruptcy, insolvency and reorganization with respect to us or any Significant Subsidiary of ours which is organized under the laws of the United States or any political sub-division thereof or the entry of an order ordering the winding up or liquidation of our affairs.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Each indenture will provide that the Trustee thereunder will, within 90 days after the occurrence of a default with respect to the debt securities of any series issued under such indenture, give to the holders of the debt securities of such series notice of all uncured and unwaived defaults known to it;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in the case of default in the payment of principal of, premium, if any, or interest, if any, on any of the debt securities of such series, the Trustee will be protected in withholding such notice if it in good faith determines that the withholding of such notice is in the interests of the holders of the debt securities of such series. The term “default” for the purpose of this provision means any event which is, or after notice or lapse of time or both would become, an Event of Default with respect to debt securities of such series.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indenture will contain provisions entitling the Trustee under such indenture, subject to the duty of the Trustee during an Event of Default to act with the required standard of care, to be indemnified to its reasonable satisfaction by the holders of the debt securities before proceeding to exercise any right or power under the applicable indenture at the request of holders of such debt securities.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indenture will provide that the holders of a majority in aggregate principal amount of the outstanding debt securities of any series issued under such indenture may direct the time, method and place of conducting proceedings for remedies available to the Trustee or exercising any trust or power conferred on the Trustee in respect of such series, subject to certain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Except as otherwise set forth in the prospectus supplement relating to the debt securities, in certain cases, the holders of a majority in principal amount of the outstanding debt securities of any series may waive, on behalf of the holders of all debt securities of such series, any past default or Event of Default with respect to the debt securities of such series except, among other things, a default not theretofore cured in payment of the principal of, or premium, if any, or interest, if any, on any of the senior debt securities of such series or payment of any sinking or purchase fund or analogous obligations with respect to such senior debt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include a covenant that we will file annually with the Trustee a certificate of no default or specifying any default that exists.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set forth in the prospectus supplement relating to the debt securities, we and the Trustee may, without the consent of the holders of the debt securities issued under the indenture governing such debt securities, enter into indentures supplemental to the applicable indenture for, among others, one or more of the following purposes:</w:t>
      </w:r>
    </w:p>
    <w:p>
      <w:pPr>
        <w:spacing w:after="0" w:line="59" w:lineRule="exact"/>
        <w:rPr>
          <w:sz w:val="20"/>
          <w:szCs w:val="20"/>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such successor of the Company’s obligations under the applicable indenture and the debt securities of any series;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to the covenants of the Company or to surrender any rights or powers of the Company for the benefit of the holders of debt securities of any or all series issued under such indenture;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in the applicable indenture which may be inconsistent with any other provision therein, or to make any other provisions with respect to matters or questions arising under such indenture;</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to the applicable indenture any provisions that may be expressly permitted by the Trust Indenture Act of 1939, as amended (the “</w:t>
      </w:r>
      <w:r>
        <w:rPr>
          <w:rFonts w:ascii="Arial" w:cs="Arial" w:eastAsia="Arial" w:hAnsi="Arial"/>
          <w:sz w:val="18"/>
          <w:szCs w:val="18"/>
          <w:i w:val="1"/>
          <w:iCs w:val="1"/>
          <w:color w:val="auto"/>
        </w:rPr>
        <w:t>TIA</w:t>
      </w:r>
      <w:r>
        <w:rPr>
          <w:rFonts w:ascii="Arial" w:cs="Arial" w:eastAsia="Arial" w:hAnsi="Arial"/>
          <w:sz w:val="18"/>
          <w:szCs w:val="18"/>
          <w:color w:val="auto"/>
        </w:rPr>
        <w:t>”), excluding the provisions referred to in Section 316(a)(2) of the TIA as in effect at the date as of which the applicable indenture was executed or any corresponding provision in any similar federal statute hereafter enacted;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 to be issued under the applicable indenture, to provide for the issuance of any series of debt securities and/or to add to the rights of the holders of debt securities;</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one or more series of debt securities or to add or change any of the provisions of the applicable indenture as shall be necessary to facilitate the administration of the trusts thereunder by one or more trustees in accordance with the applicable indenture;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securities are issued in registered form for certain federal tax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provide for the terms and conditions of converting those debt securities that are convertible into common stock or another such similar security;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secure any series of debt securities;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make any change necessary to comply with any requirement of the SEC in connection with the qualification of the applicable indenture or any supplemental indenture under the TIA;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the holders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supplemental indenture for the purpose identified in clauses (2), (3) or (5) above may be entered into if to do so would adversely affect the rights of the holders of debt securities of any series issued under the same indenture in any material respect.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Except as set forth in the prospectus supplement relating to such series of debt securities, each indenture will contain provisions permitting us and the Trustee under such indenture, with the consent of the holders of a majority in principal amount of the outstanding debt securities of all series issued under such indenture to be affected voting as a single class, to execute supplemental indentures for the purpose of adding any provisions to or changing or eliminating any of the provisions of applicable indenture or modifying the rights of the holders of the debt securities of such series to be affected, except that no such supplemental indenture may, without the consent of the holders of affected debt securities, among other things:</w:t>
      </w:r>
    </w:p>
    <w:p>
      <w:pPr>
        <w:spacing w:after="0" w:line="35" w:lineRule="exact"/>
        <w:rPr>
          <w:sz w:val="20"/>
          <w:szCs w:val="20"/>
          <w:color w:val="auto"/>
        </w:rPr>
      </w:pPr>
    </w:p>
    <w:p>
      <w:pPr>
        <w:ind w:left="900" w:right="180" w:hanging="325"/>
        <w:spacing w:after="0" w:line="25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the maturity of the principal of, or the maturity of any premium on, or any installment of interest on, any such debt security, or reduce the principal amount or the interest or any premium of any such debt securities, or change the method of computing the amount of principal or interest on any such debt securities on any date or change any place of payment where, or the currency in which, any debt securities or any premium or interest thereon is payable, or impair the right to institute suit for the enforcement of any such payment on or after the maturity of principal or premium, as the case may be;</w:t>
      </w:r>
    </w:p>
    <w:p>
      <w:pPr>
        <w:spacing w:after="0" w:line="61"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 the percentage in principal amount of any such debt securities the consent of whose holders is required for any supplemental indenture, waiver of compliance with certain provisions of the applicable indenture or certain defaults under the applicable indenture;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modify any of the provisions of applicable indenture related to (i) the requirement that the holders of debt securities issued under such indenture consent to certain amendments of the applicable indenture, (ii) the waiver of past defaults and (iii) the waiver of certain covenants, except to increase the percentage of holders required to make such amendments or grant such waivers; or</w:t>
      </w:r>
    </w:p>
    <w:p>
      <w:pPr>
        <w:spacing w:after="0" w:line="59"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 or adversely affect the right of any holder to institute suit for the enforcement of any payment on, or with respect to, such senior debt securities on or after the maturity of such debt securities.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subordinated indenture will provide that we may not make any change in the terms of the subordination of the subordinated debt securities of any series in a manner adverse in any material respect to the holders of any series of subordinated debt securities without the consent of each holder of subordinated debt securities that would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U.S. Bank National Association is the Trustee under each indenture. The Trustee and its affiliates may also provide banking, trustee and other services for us, and transact other banking business with us, in the normal course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indentures will be governed by, and construed in accordance with, the laws of the State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issue debt securities through global securities. A global security is a security, typically held by a depositary, that represents the beneficial interests of a number of purchasers of the security. If we do issue global securities, the following procedures will apply.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deposit global securities with the depositary identified in the prospectus supplement. After we issue a global security, the depositary will credit on its book-entry registration and transfer system the respective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principal amounts of the debt securities represented by the global security to the accounts of persons who have accounts with the depositary. These account holders are known as “participants.” The underwriters or agents participating in the distribution of the debt securities will designate the accounts to be credited. Only a participant or a person who holds an interest through a participant may be the beneficial owner of a global security. Ownership of beneficial interests in the global security will be shown on, and the transfer of that ownership will be effected only through, records maintained by the depositary and its participants.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and the Trustee will treat the depositary or its nominee as the sole owner or holder of the debt securities represented by a global security. Except as set forth below, owners of beneficial interests in a global security will not be entitled to have the debt securities represented by the global security registered in their names. They also will not receive or be entitled to receive physical delivery of the debt securities in definitive form and will not be considered the owners or holders of the debt securities.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Principal, any premium and any interest payments on debt securities represented by a global security registered in the name of a depositary or its nominee will be made to the depositary or its nominee as the registered owner of the global security. None of us, the Trustee or any paying agent will have any responsibility or liability for any aspect of the records relating to or payments made on account of beneficial ownership interests in the global security or maintaining, supervising or reviewing any records relating to the beneficial ownership interests.</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expect that the depositary, upon receipt of any payments, will immediately credit participants’ accounts with payments in amounts proportionate to their respective beneficial interests in the principal amount of the global security as shown on the depositary’s records. We also expect that payments by participants to owners of beneficial interests in the global security will be governed by standing instructions and customary practices, as is the case with the securities held for the accounts of customers registered in “street names,” and will be the responsibility of the participants.</w:t>
      </w:r>
    </w:p>
    <w:p>
      <w:pPr>
        <w:spacing w:after="0" w:line="11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If the depositary is at any time unwilling or unable to continue as depositary and a successor depositary is not appointed by us within 90 days, we will issue registered securities in exchange for the global security. In addition, we may at any time in our sole discretion determine not to have any of the debt securities of a series represented by global securities. In that event, we will issue debt securities of that series in definitive form in exchange for the global securities.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 this prospectus.</w:t>
      </w:r>
    </w:p>
    <w:p>
      <w:pPr>
        <w:spacing w:after="0" w:line="12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the event of a distribution other than in cash, the depositary will distribute property received by it to the record holders of depositary shares entitled thereto in proportion to the number of depositary shares owned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amount distributed in any of the foregoing cases will be reduced by any amounts required to be withheld by us or the depositary on account of taxes or other governmental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Underlying Preferred Stock</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96"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96" w:lineRule="exact"/>
        <w:rPr>
          <w:sz w:val="20"/>
          <w:szCs w:val="20"/>
          <w:color w:val="auto"/>
        </w:rPr>
      </w:pPr>
    </w:p>
    <w:p>
      <w:pPr>
        <w:jc w:val="both"/>
        <w:ind w:right="460" w:firstLine="456"/>
        <w:spacing w:after="0" w:line="256" w:lineRule="auto"/>
        <w:rPr>
          <w:sz w:val="20"/>
          <w:szCs w:val="20"/>
          <w:color w:val="auto"/>
        </w:rPr>
      </w:pPr>
      <w:r>
        <w:rPr>
          <w:rFonts w:ascii="Arial" w:cs="Arial" w:eastAsia="Arial" w:hAnsi="Arial"/>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depositary will forward to the holders of depositary shares all reports and communications from us that are delivered to the depositary and which we are required to furnish to the holders of the related preferred stock.</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description of the terms of the warrants sets forth certain general terms and provisions of the warrants to which any prospectus supplement may relate. We may issue warrants for the purchase of common stock, preferred stock, debt securities or depositary shares. Warrants may be issued independently or together with common stock, preferred stock, debt securities or depositary shares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 particular issue of debt warrants will describe the terms of such debt warrants, including the following:</w:t>
      </w:r>
    </w:p>
    <w:p>
      <w:pPr>
        <w:spacing w:after="0" w:line="113"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offering price for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number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such debt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with which such debt warrants are issued and the number of such debt warrants issued with each such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applicable, the date from and after which such debt warrants and any debt securities issued therewith will be separately transferable;</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a debt warrant and the price at which such principal amount of debt securities may be purchased upon exercise (which price may be payable in cash, securities or other property);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the right to exercise such debt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debt warrants that may be exercised at any one time;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antidilution or adjustment provisions of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debt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additional terms of such debt warrants, including terms, procedures, and limitations relating to the exchange and exercise of such debt warrants.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relating to any particular issue of common stock warrants, preferred stock warrants or depositary share warrants will describe the terms of such warrants, including the following:</w:t>
      </w:r>
    </w:p>
    <w:p>
      <w:pPr>
        <w:spacing w:after="0" w:line="5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offering price for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purchasable upon exercise of such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designation and terms of the offered securities with which such warrants are issued and the number of such warrants issued with each such offered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applicable, the date from and after which such warrants and any offered securities issued therewith will be separately transferable;</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such shares may be purchased upon exercise;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that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additional terms of such warrants, including terms, procedures and limitations relating to the exchange and exercise of such warrants.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RIGHTS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13"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aggregate number of rights issued and the aggregate number of shares of common stock purchasable upon exercise of the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Each right would entitle the holder of the rights to purchase for cash the principal amount of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PURCHASE CONTRACTS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issue, from time to time, purchase contracts, including contracts obligating holders to purchase from us and us to sell to the holders, a specified principal amount of senior debt securities, subordinated debt securities, shares of common stock or preferred stock, depositary shares, government securities, or any of the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prospectus supplement related to any particular purchase contracts will describe, among other things, the material terms of the purchase contracts and of the securities being sold pursuant to such purchase contracts, a discussion, if appropriate, of any special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THE UNITS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prospectus supplement related to any particular units will describe, among other things:</w:t>
      </w:r>
    </w:p>
    <w:p>
      <w:pPr>
        <w:spacing w:after="0" w:line="90" w:lineRule="exact"/>
        <w:rPr>
          <w:sz w:val="20"/>
          <w:szCs w:val="20"/>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of the securities comprising the units;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appropriate, any special United States federal income tax considerations applicable to the units;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24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the selling stockholders may offer and sell the securities in any one or more of the following ways:</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directly to one or more other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the exercise of rights distributed or issued to our security holders;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agents on a best-efforts basis;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otherwise through a combination of any of the above methods of sale.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we or the selling stockholders may enter into option, share lending or other types of transactions that require us or such selling stockholders, as applicable, to deliver shares of common stock to an underwriter, broker or dealer, who will then resell or transfer the shares of common stock under this prospectus. We or the selling stockholders may also enter into hedging transactions with respect to our securities or the securities of such selling stockholders, as applicable. For example, we or the selling stockholders may:</w:t>
      </w:r>
    </w:p>
    <w:p>
      <w:pPr>
        <w:spacing w:after="0" w:line="6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shares of common stock by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shares of common stock short and deliver the shares to close out short positions;</w:t>
      </w:r>
    </w:p>
    <w:p>
      <w:pPr>
        <w:spacing w:after="0" w:line="9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enter into option or other types of transactions that require us or the selling stockholders, as applicable, to deliver shares of common stock to an underwriter, broker or dealer, who will then resell or transfer the shares of common stock under this prospectus; or</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loan or pledge the shares of common stock to an underwriter, broker or dealer, who may sell the loaned shares or, in the event of default, sell the pledged shares.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selling stockholder will act independently of us in making decisions with respect to the timing, manner and size of each sale of shares of common stock covered by this prospectus.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such selling stockholders, as applicable, or borrowed from us, such selling stockholders or others to settle those sales or to close out any related open borrowings of stock, and may use securities received from us or selling stockholders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or the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the securities of such selling stockholders, as applicable, or in connection with a concurrent offering of other securities.</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Shares of common stock may also be exchanged for satisfaction of the selling stockholders’ obligations or other liabilities to their creditors. Such transactions may or may not involve brokers or dealers.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Each time we or the selling stockholders sell securities, we will provide a prospectus supplement that will name any underwriter, dealer or agent involved in the offer and sale of the securities. The prospectus supplement will also set forth the terms of the offering, including:</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and/or such selling stockholders, as applicable, will receive from the sale of the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public offering or purchase price and any discounts or commissions allowed or re-allowed or paid to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commissions allowed or paid to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offering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method of distribution of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any agreement, arrangement or understanding entered into with the underwriters, brokers or dealers;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information we think is important.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underwriters or dealers are used in the sale, the securities will be acquired by the underwriters or dealers for their own account. The securities may be sold from time to time by us or the selling stockholders in one or more transactions:</w:t>
      </w:r>
    </w:p>
    <w:p>
      <w:pPr>
        <w:spacing w:after="0" w:line="5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sales may be effected:</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transactions on any national securities exchange or quotation service on which the securities may be listed or quoted at the time of sale;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transactions in the over-the-counter market;</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the writing of options;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other types of transactions.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firstLine="456"/>
        <w:spacing w:after="0" w:line="370" w:lineRule="auto"/>
        <w:rPr>
          <w:sz w:val="20"/>
          <w:szCs w:val="20"/>
          <w:color w:val="auto"/>
        </w:rPr>
      </w:pPr>
      <w:r>
        <w:rPr>
          <w:rFonts w:ascii="Arial" w:cs="Arial" w:eastAsia="Arial" w:hAnsi="Arial"/>
          <w:sz w:val="15"/>
          <w:szCs w:val="15"/>
          <w:color w:val="auto"/>
        </w:rPr>
        <w:t>The selling stockholders might not sell any shares of common stock under this prospectus. In addition, any shares of common stock covered by this prospectus that qualify for sale pursuant to Rule 144 under the Securities Act of 1933 may be sold under Rule 144 rather than pursuant to this prospectus.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sold directly by us or the selling stockholders or through agents designated by us or such selling stockholders, as applicable, from time to time. Any agent involved in the offer or sale of the securities in respect of which this prospectus is delivered will be named, and any commissions payable by us or such selling stockholders, as applicable, to such agent will be set forth in, the prospectus supplement. Unless otherwise indicated in the prospectus supplement, any such agent will be acting on a best efforts basis for the period of its appointment.</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Offers to purchase the securities offered by this prospectus may be solicited, and sales of the securities may be made by us or by selling stockholders directly to institutional investors or others, who may be deemed to be underwriters within the meaning of the Securities Act of 1933 with respect to any resale of the securities. The terms of any offer made in this manner will be included in the prospectus supplement relating to the offer.</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59"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educational and charitable institutions.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all cases, these purchasers must be approved by us or the selling stockholders, as applicable.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or the selling stockholders, as applicable, must have sold to these underwriters the securities not subject to delayed delivery. Underwriters and other agents will not have any responsibility in respect of the validity or performance of these contracts.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Some of the underwriters, dealers or agents used by us or the selling stockholders in any offering of securities under this prospectus may be customers of, engage in transactions with, and perform services for us and/or such selling stockholders, as applicable, or affiliates of ours and/or theirs, as applicable, in the ordinary course of business. Underwriters, dealers, agents and other persons may be entitled under agreements which may be entered into with us and/or the selling stockholders to indemnification against and contribution toward certain civil liabilities, including liabilities under the Securities Act of 1933, and to be reimbursed by us and/or such selling stockholders for certain expenses.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any restrictions relating to debt securities in bearer form, any securities initially sold outside the United States may be resold in the United States through underwriters, dealers or otherwise.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underwriters to which offered securities are sold by us or the selling stockholders for public offering and sale may make a market in such securities, but those underwriters will not be obligated to do so and may discontinue any market making at any time.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anticipated date of delivery of the securities offered by this prospectus will be described in the applicable prospectus supplement relating to the offering.</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(“FINRA”), the aggregate maximum discount, commission, agency fees or other items constituting underwriting compensation to be received by any FINRA member or independent broker-dealer will not exceed 8% of the offering proceeds from any offering pursuant to this prospectus and any applicable prospectus supplement.</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 FINRA member may participate in any offering of securities made under this prospectus if such member has a conflict of interest under FINRA Rule 5121, including if 5% or more of the net proceeds, not including underwriting compensation, of any offering of securities made under this prospectus will be received by a FINRA member participating in the offering or affiliates or associated persons of such FINRA members, unless a qualified independent underwriter has participated in the offering or the offering otherwise complies with FINRA Rule 5121.</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Unless otherwise indicated in the applicable prospectus supplement, certain legal matters will be passed upon for us by Paul, Weiss, Rifkind, Wharton &amp; Garrison LLP, New York, New York. If legal matters in connection with offerings made pursuant to this prospectus are passed upon by counsel for underwriters, dealers or agents, if any, such counsel will be named in the prospectus supplement relating to such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of ExlService Holdings, Inc. appearing in ExlService Holdings, Inc.’s Annual Report (Form 10-K) for the year ended December 31, 2010, and the effectiveness of ExlService Holdings, Inc.’s internal control over financial reporting as of December 31, 2010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consolidated financial statements of Business Process Outsourcing, Inc. as of December 31, 2010 and 2009, and for each of the three years in the period ended December 31, 2010 have been audited by Ernst &amp; Young, an independent registered public accounting firm, as set forth in their report thereon and incorporated herein by reference, and are included in reliance upon such report given on the authority of such firm as experts in accounting and auditing.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required by the Securities Act of 1933, as amended, ExlService filed a registration statement relating to the securities offered by this prospectus with the SEC. This prospectus is a part of that registration statement, which includes additional information.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 under the Exchange Act. These filings are available to the public on the SEC’s website at www.sec.gov.</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You may also read and copy any document the Company files at the SEC’s public reference room at 100 F Street, N.E., Washington, D.C. Please call the SEC at 1-800-SEC-0330 for further information on the public reference room. ExlService maintains a website at www.exlservice.com where the Annual Report on Form 10-K, Quarterly Reports on Form 10-Q, Current Reports on Form 8-K and all amendments to those reports are available without charge, as soon as reasonably practicable after those reports are filed with or furnished to the SEC.</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 or at its public reference room.</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 SEC, which means that we can disclose important information to you by referring you to those documents. The information incorporated by reference is considered to be part of this prospectus. Information that we file later with the SEC will automatically update information in this prospectus. In all cases, you should rely on the later information over different information included in this prospectus or the prospectus supplement. We incorporate by reference the following documents which have been filed with the SEC:</w:t>
      </w:r>
    </w:p>
    <w:p>
      <w:pPr>
        <w:spacing w:after="0" w:line="32" w:lineRule="exact"/>
        <w:rPr>
          <w:sz w:val="20"/>
          <w:szCs w:val="20"/>
          <w:color w:val="auto"/>
        </w:rPr>
      </w:pPr>
    </w:p>
    <w:p>
      <w:pPr>
        <w:ind w:left="900" w:right="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2010, including portions of our Proxy Statement for the 2011 Annual Meeting of Stockholders (filed on May 2, 2011) to the extent specifically incorporated by reference therein;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2011, June 30, 2011 and September 30, 2011;</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Reports on Form 8-K filed on May 2, 2011, June 2, 2011, June 6, 2011 (as amended on August 1, 2011), June 20, 2011, September 13, 2011, September 19, 2011 and December 6, 2011;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description of the Company’s common stock set forth in the Company’s Registration Statement on Form 8-A filed on October 17, 2006.</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documents and reports that we file with the SEC (other than any portion of such filings that are furnished under applicable SEC rules rather than filed) pursuant to Section 13(a), 13(c), 14 or 15(d) of the Exchange Act (a) after the date of the initial registration statement and prior to effectiveness of the registration statement and (b) after the date of this prospectus and before the later of (1) the completion of the offering of the securities described in this prospectus and (2) the date we stop offering securities pursuant to this prospectus, shall be incorporated by reference in this prospectus from the date of filing of such documents. The information contained on our website (www.exlservice.com) is not incorporated into this prospectus.</w:t>
      </w:r>
    </w:p>
    <w:p>
      <w:pPr>
        <w:spacing w:after="0" w:line="116"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You should not assume that the information in this prospectus, the prospectus supplement, any applicable pricing supplement or any documents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1045845</wp:posOffset>
            </wp:positionV>
            <wp:extent cx="1140460" cy="763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4046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33" w:lineRule="exact"/>
        <w:rPr>
          <w:sz w:val="20"/>
          <w:szCs w:val="20"/>
          <w:color w:val="auto"/>
        </w:rPr>
      </w:pPr>
    </w:p>
    <w:p>
      <w:pPr>
        <w:ind w:left="4620"/>
        <w:spacing w:after="0"/>
        <w:rPr>
          <w:sz w:val="20"/>
          <w:szCs w:val="20"/>
          <w:color w:val="auto"/>
        </w:rPr>
      </w:pPr>
      <w:r>
        <w:rPr>
          <w:rFonts w:ascii="Arial" w:cs="Arial" w:eastAsia="Arial" w:hAnsi="Arial"/>
          <w:sz w:val="32"/>
          <w:szCs w:val="32"/>
          <w:b w:val="1"/>
          <w:bCs w:val="1"/>
          <w:color w:val="auto"/>
        </w:rPr>
        <w:t>Preferred Stock</w:t>
      </w:r>
    </w:p>
    <w:p>
      <w:pPr>
        <w:spacing w:after="0" w:line="28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Debt Securities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Depositary Shares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Warrants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Rights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Purchase Contracts</w:t>
      </w: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099"/>
        <w:spacing w:after="0"/>
        <w:rPr>
          <w:sz w:val="20"/>
          <w:szCs w:val="20"/>
          <w:color w:val="auto"/>
        </w:rPr>
      </w:pPr>
      <w:r>
        <w:rPr>
          <w:rFonts w:ascii="Arial" w:cs="Arial" w:eastAsia="Arial" w:hAnsi="Arial"/>
          <w:sz w:val="32"/>
          <w:szCs w:val="32"/>
          <w:b w:val="1"/>
          <w:bCs w:val="1"/>
          <w:color w:val="auto"/>
        </w:rPr>
        <w:t>P R O S P E C T U S</w:t>
      </w:r>
    </w:p>
    <w:p>
      <w:pPr>
        <w:spacing w:after="0" w:line="335"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 2012</w:t>
      </w:r>
    </w:p>
    <w:p>
      <w:pPr>
        <w:sectPr>
          <w:pgSz w:w="11900" w:h="16838" w:orient="portrait"/>
          <w:cols w:equalWidth="0" w:num="1">
            <w:col w:w="10219"/>
          </w:cols>
          <w:pgMar w:left="240" w:top="45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sets forth the expenses to be borne by ExlService Holdings, Inc. in connection with the issuance and distribution of the securities being registered, excluding underwriting fees and expenses. All the amounts shown are estimates except the registration fee paid to the Securities and Exchange Commission.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15,307</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Printing and duplicating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170,000</w:t>
            </w:r>
          </w:p>
        </w:tc>
      </w:tr>
    </w:tbl>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145 of the Delaware General Corporation Law, or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 if such person is successful on the merits or otherwise in defense of any action, suit or proceeding or (ii) if such person acted in good faith and in a manner he reasonably believed to be in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amended and restated certificate of incorporation provides that we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we refer to as a proceeding, by reason of the fact that he or she, or a person for whom he or she is the legal representative, is or was at any time from and after the effective date of our plan of reorganization, a director or officer of the corporation or, while a director or officer of the corporation, is or was at any time from and after the effective date of our plan of reorganization, serving at the written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provided, however, that we shall be required to indemnify a person in connection with a proceeding (or part thereof) initiated by such person only if the commencement of such proceeding (or part thereof) was authorized by our board of directors.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amended and restated certificate of incorporation limits the personal liability of our directors to the fullest extent permitted by section 102 of the DGCL.</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of 1933 and is therefore unenforceable.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directors’ and officers’ liability insurance for our officers and directors.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list of exhibits filed with this registration statement is contained in the exhibits index, which is incorporated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71" w:lineRule="exact"/>
        <w:rPr>
          <w:rFonts w:ascii="Arial" w:cs="Arial" w:eastAsia="Arial" w:hAnsi="Arial"/>
          <w:sz w:val="18"/>
          <w:szCs w:val="18"/>
          <w:color w:val="auto"/>
        </w:rPr>
      </w:pPr>
    </w:p>
    <w:p>
      <w:pPr>
        <w:ind w:right="40" w:firstLine="921"/>
        <w:spacing w:after="0" w:line="291" w:lineRule="auto"/>
        <w:tabs>
          <w:tab w:leader="none" w:pos="1171"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0" w:lineRule="exact"/>
        <w:rPr>
          <w:rFonts w:ascii="Arial" w:cs="Arial" w:eastAsia="Arial" w:hAnsi="Arial"/>
          <w:sz w:val="16"/>
          <w:szCs w:val="16"/>
          <w:color w:val="auto"/>
        </w:rPr>
      </w:pPr>
    </w:p>
    <w:p>
      <w:pPr>
        <w:ind w:right="60" w:firstLine="921"/>
        <w:spacing w:after="0" w:line="268" w:lineRule="auto"/>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(i), (ii) and (iii)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3" w:lineRule="exact"/>
        <w:rPr>
          <w:sz w:val="20"/>
          <w:szCs w:val="20"/>
          <w:color w:val="auto"/>
        </w:rPr>
      </w:pPr>
    </w:p>
    <w:p>
      <w:pPr>
        <w:ind w:right="180" w:firstLine="464"/>
        <w:spacing w:after="0" w:line="259"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64"/>
        <w:spacing w:after="0" w:line="268"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71" w:lineRule="exact"/>
        <w:rPr>
          <w:rFonts w:ascii="Arial" w:cs="Arial" w:eastAsia="Arial" w:hAnsi="Arial"/>
          <w:sz w:val="18"/>
          <w:szCs w:val="18"/>
          <w:color w:val="auto"/>
        </w:rPr>
      </w:pPr>
    </w:p>
    <w:p>
      <w:pPr>
        <w:ind w:right="160" w:firstLine="921"/>
        <w:spacing w:after="0" w:line="268" w:lineRule="auto"/>
        <w:tabs>
          <w:tab w:leader="none" w:pos="1123"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1" w:lineRule="exact"/>
        <w:rPr>
          <w:rFonts w:ascii="Arial" w:cs="Arial" w:eastAsia="Arial" w:hAnsi="Arial"/>
          <w:sz w:val="18"/>
          <w:szCs w:val="18"/>
          <w:color w:val="auto"/>
        </w:rPr>
      </w:pPr>
    </w:p>
    <w:p>
      <w:pPr>
        <w:ind w:firstLine="921"/>
        <w:spacing w:after="0" w:line="287" w:lineRule="auto"/>
        <w:tabs>
          <w:tab w:leader="none" w:pos="1171"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no statement made in a registration statement or prospectus that is part of the registration statement or made in a document incorporated</w:t>
      </w:r>
      <w:r>
        <w:rPr>
          <w:rFonts w:ascii="Arial" w:cs="Arial" w:eastAsia="Arial" w:hAnsi="Arial"/>
          <w:sz w:val="16"/>
          <w:szCs w:val="16"/>
          <w:i w:val="1"/>
          <w:iCs w:val="1"/>
          <w:color w:val="auto"/>
        </w:rPr>
        <w:t xml:space="preserve"> </w:t>
      </w:r>
      <w:r>
        <w:rPr>
          <w:rFonts w:ascii="Arial" w:cs="Arial" w:eastAsia="Arial" w:hAnsi="Arial"/>
          <w:sz w:val="16"/>
          <w:szCs w:val="16"/>
          <w:color w:val="auto"/>
        </w:rPr>
        <w:t>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2" w:lineRule="exact"/>
        <w:rPr>
          <w:rFonts w:ascii="Arial" w:cs="Arial" w:eastAsia="Arial" w:hAnsi="Arial"/>
          <w:sz w:val="16"/>
          <w:szCs w:val="16"/>
          <w:color w:val="auto"/>
        </w:rPr>
      </w:pPr>
    </w:p>
    <w:p>
      <w:pPr>
        <w:ind w:right="140" w:firstLine="464"/>
        <w:spacing w:after="0" w:line="298"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w:t>
      </w:r>
    </w:p>
    <w:p>
      <w:pPr>
        <w:spacing w:after="0" w:line="112" w:lineRule="exact"/>
        <w:rPr>
          <w:rFonts w:ascii="Arial" w:cs="Arial" w:eastAsia="Arial" w:hAnsi="Arial"/>
          <w:sz w:val="16"/>
          <w:szCs w:val="16"/>
          <w:color w:val="auto"/>
        </w:rPr>
      </w:pPr>
    </w:p>
    <w:p>
      <w:pPr>
        <w:ind w:left="1120" w:hanging="199"/>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preliminary prospectus or prospectus of the registrant relating to the offering required to be filed pursuant to Rule 424;</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registrant or used or referred to by the registrant;</w:t>
      </w:r>
    </w:p>
    <w:p>
      <w:pPr>
        <w:spacing w:after="0" w:line="194" w:lineRule="exact"/>
        <w:rPr>
          <w:rFonts w:ascii="Arial" w:cs="Arial" w:eastAsia="Arial" w:hAnsi="Arial"/>
          <w:sz w:val="16"/>
          <w:szCs w:val="16"/>
          <w:color w:val="auto"/>
        </w:rPr>
      </w:pPr>
    </w:p>
    <w:p>
      <w:pPr>
        <w:ind w:right="380" w:firstLine="921"/>
        <w:spacing w:after="0" w:line="268" w:lineRule="auto"/>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registrant or its securities provided by or on behalf of the registrant; and</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registrant to the purchaser.</w:t>
      </w:r>
    </w:p>
    <w:p>
      <w:pPr>
        <w:spacing w:after="0" w:line="17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3"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Securities Act of 1933 and is, therefore,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240" w:top="459" w:right="5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ExlService Holdings, Inc. certifies that it has reasonable grounds to believe that it meets all of the requirements for filing on Form S-3 and has duly caused this Registration Statement to be signed on its behalf by the undersigned, thereunto duly authorized, in the City of New York, State of New York, on January 19, 2012.</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Rohit Kapoor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pacing w:after="0" w:line="15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KNOW ALL PERSONS BY THESE PRESENTS, that each individual whose signature appears below hereby constitutes and appoints Vikram Talwar, Rohit Kapoor, Vishal Chhibbar and Amit Shashank, or any of them his or her true and lawful agent, proxy and attorney in 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(ii) act on, sign and file with the Securities and Exchange Commission any related registration statement filed pursuant to Rule 462(b) under the Securities Act of 1933 and any or all amendments thereto, together with all schedules and exhibits thereto, (iii) act on, sign and file such certificates, instruments, agreements and other documents as may be necessary or appropriate in connection therewith, (iv) act on and file any supplement to any prospectus included in this registration statement or any such amendment, and (v) take any and all actions which may be necessary or appropriate in connection therewith, granting unto such agent, proxy and attorney in fact full power and authority to do and perform each and every act and thing necessary or appropriate to be done, as fully for all intents and purposes as he or she might or could do in person, hereby approving, ratifying and confirming all that such agents, proxies and attorneys in fact or any of their substitutes may lawfully do or cause to be done by virtue thereof.</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indicated on January 19,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Title/Position</w:t>
            </w:r>
          </w:p>
        </w:tc>
        <w:tc>
          <w:tcPr>
            <w:tcW w:w="2120" w:type="dxa"/>
            <w:vAlign w:val="bottom"/>
          </w:tcPr>
          <w:p>
            <w:pPr>
              <w:spacing w:after="0"/>
              <w:rPr>
                <w:sz w:val="14"/>
                <w:szCs w:val="14"/>
                <w:color w:val="auto"/>
              </w:rPr>
            </w:pPr>
          </w:p>
        </w:tc>
      </w:tr>
      <w:tr>
        <w:trPr>
          <w:trHeight w:val="425"/>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tc>
        <w:tc>
          <w:tcPr>
            <w:tcW w:w="222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w w:val="90"/>
              </w:rPr>
              <w:t>Chief Executive Officer, President and Director (Principal Executive Officer)</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c>
          <w:tcPr>
            <w:tcW w:w="222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Vishal Chhibbar</w:t>
            </w: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222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Chairman</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Vikram Talwar</w:t>
            </w: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TEVEN</w:t>
            </w:r>
            <w:r>
              <w:rPr>
                <w:rFonts w:ascii="Arial" w:cs="Arial" w:eastAsia="Arial" w:hAnsi="Arial"/>
                <w:sz w:val="18"/>
                <w:szCs w:val="18"/>
                <w:color w:val="auto"/>
              </w:rPr>
              <w:t xml:space="preserve"> B. G</w:t>
            </w:r>
            <w:r>
              <w:rPr>
                <w:rFonts w:ascii="Arial" w:cs="Arial" w:eastAsia="Arial" w:hAnsi="Arial"/>
                <w:sz w:val="14"/>
                <w:szCs w:val="14"/>
                <w:color w:val="auto"/>
              </w:rPr>
              <w:t>RUBER</w:t>
            </w:r>
          </w:p>
        </w:tc>
        <w:tc>
          <w:tcPr>
            <w:tcW w:w="222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Steven B. Gruber</w:t>
            </w: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DWARD</w:t>
            </w:r>
            <w:r>
              <w:rPr>
                <w:rFonts w:ascii="Arial" w:cs="Arial" w:eastAsia="Arial" w:hAnsi="Arial"/>
                <w:sz w:val="18"/>
                <w:szCs w:val="18"/>
                <w:color w:val="auto"/>
              </w:rPr>
              <w:t xml:space="preserve"> V. D</w:t>
            </w:r>
            <w:r>
              <w:rPr>
                <w:rFonts w:ascii="Arial" w:cs="Arial" w:eastAsia="Arial" w:hAnsi="Arial"/>
                <w:sz w:val="14"/>
                <w:szCs w:val="14"/>
                <w:color w:val="auto"/>
              </w:rPr>
              <w:t>ARDANI</w:t>
            </w:r>
          </w:p>
        </w:tc>
        <w:tc>
          <w:tcPr>
            <w:tcW w:w="222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Edward V. Dardani</w:t>
            </w: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IRAN</w:t>
            </w:r>
            <w:r>
              <w:rPr>
                <w:rFonts w:ascii="Arial" w:cs="Arial" w:eastAsia="Arial" w:hAnsi="Arial"/>
                <w:sz w:val="18"/>
                <w:szCs w:val="18"/>
                <w:color w:val="auto"/>
              </w:rPr>
              <w:t xml:space="preserve"> K</w:t>
            </w:r>
            <w:r>
              <w:rPr>
                <w:rFonts w:ascii="Arial" w:cs="Arial" w:eastAsia="Arial" w:hAnsi="Arial"/>
                <w:sz w:val="14"/>
                <w:szCs w:val="14"/>
                <w:color w:val="auto"/>
              </w:rPr>
              <w:t>ARNIK</w:t>
            </w:r>
          </w:p>
        </w:tc>
        <w:tc>
          <w:tcPr>
            <w:tcW w:w="222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Kiran Karnik</w:t>
            </w: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81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Title/Position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B. K</w:t>
            </w:r>
            <w:r>
              <w:rPr>
                <w:rFonts w:ascii="Arial" w:cs="Arial" w:eastAsia="Arial" w:hAnsi="Arial"/>
                <w:sz w:val="14"/>
                <w:szCs w:val="14"/>
                <w:color w:val="auto"/>
              </w:rPr>
              <w:t>ELSO</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217"/>
        </w:trPr>
        <w:tc>
          <w:tcPr>
            <w:tcW w:w="5040" w:type="dxa"/>
            <w:vAlign w:val="bottom"/>
            <w:gridSpan w:val="2"/>
          </w:tcPr>
          <w:p>
            <w:pPr>
              <w:spacing w:after="0"/>
              <w:rPr>
                <w:sz w:val="20"/>
                <w:szCs w:val="20"/>
                <w:color w:val="auto"/>
              </w:rPr>
            </w:pPr>
            <w:r>
              <w:rPr>
                <w:rFonts w:ascii="Arial" w:cs="Arial" w:eastAsia="Arial" w:hAnsi="Arial"/>
                <w:sz w:val="18"/>
                <w:szCs w:val="18"/>
                <w:color w:val="auto"/>
              </w:rPr>
              <w:t>David B. Kelso</w:t>
            </w:r>
          </w:p>
        </w:tc>
        <w:tc>
          <w:tcPr>
            <w:tcW w:w="116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LYDE</w:t>
            </w:r>
            <w:r>
              <w:rPr>
                <w:rFonts w:ascii="Arial" w:cs="Arial" w:eastAsia="Arial" w:hAnsi="Arial"/>
                <w:sz w:val="18"/>
                <w:szCs w:val="18"/>
                <w:color w:val="auto"/>
              </w:rPr>
              <w:t xml:space="preserve"> W. O</w:t>
            </w:r>
            <w:r>
              <w:rPr>
                <w:rFonts w:ascii="Arial" w:cs="Arial" w:eastAsia="Arial" w:hAnsi="Arial"/>
                <w:sz w:val="14"/>
                <w:szCs w:val="14"/>
                <w:color w:val="auto"/>
              </w:rPr>
              <w:t>STLER</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217"/>
        </w:trPr>
        <w:tc>
          <w:tcPr>
            <w:tcW w:w="5040" w:type="dxa"/>
            <w:vAlign w:val="bottom"/>
            <w:gridSpan w:val="2"/>
          </w:tcPr>
          <w:p>
            <w:pPr>
              <w:spacing w:after="0"/>
              <w:rPr>
                <w:sz w:val="20"/>
                <w:szCs w:val="20"/>
                <w:color w:val="auto"/>
              </w:rPr>
            </w:pPr>
            <w:r>
              <w:rPr>
                <w:rFonts w:ascii="Arial" w:cs="Arial" w:eastAsia="Arial" w:hAnsi="Arial"/>
                <w:sz w:val="18"/>
                <w:szCs w:val="18"/>
                <w:color w:val="auto"/>
              </w:rPr>
              <w:t>Clyde W. Ostler</w:t>
            </w:r>
          </w:p>
        </w:tc>
        <w:tc>
          <w:tcPr>
            <w:tcW w:w="116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OHANBIR</w:t>
            </w:r>
            <w:r>
              <w:rPr>
                <w:rFonts w:ascii="Arial" w:cs="Arial" w:eastAsia="Arial" w:hAnsi="Arial"/>
                <w:sz w:val="18"/>
                <w:szCs w:val="18"/>
                <w:color w:val="auto"/>
              </w:rPr>
              <w:t xml:space="preserve"> S</w:t>
            </w:r>
            <w:r>
              <w:rPr>
                <w:rFonts w:ascii="Arial" w:cs="Arial" w:eastAsia="Arial" w:hAnsi="Arial"/>
                <w:sz w:val="14"/>
                <w:szCs w:val="14"/>
                <w:color w:val="auto"/>
              </w:rPr>
              <w:t>AWHNEY</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217"/>
        </w:trPr>
        <w:tc>
          <w:tcPr>
            <w:tcW w:w="5040" w:type="dxa"/>
            <w:vAlign w:val="bottom"/>
            <w:gridSpan w:val="2"/>
          </w:tcPr>
          <w:p>
            <w:pPr>
              <w:spacing w:after="0"/>
              <w:rPr>
                <w:sz w:val="20"/>
                <w:szCs w:val="20"/>
                <w:color w:val="auto"/>
              </w:rPr>
            </w:pPr>
            <w:r>
              <w:rPr>
                <w:rFonts w:ascii="Arial" w:cs="Arial" w:eastAsia="Arial" w:hAnsi="Arial"/>
                <w:sz w:val="18"/>
                <w:szCs w:val="18"/>
                <w:color w:val="auto"/>
              </w:rPr>
              <w:t>Mohanbir Sawhney</w:t>
            </w:r>
          </w:p>
        </w:tc>
        <w:tc>
          <w:tcPr>
            <w:tcW w:w="116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AREN</w:t>
            </w:r>
            <w:r>
              <w:rPr>
                <w:rFonts w:ascii="Arial" w:cs="Arial" w:eastAsia="Arial" w:hAnsi="Arial"/>
                <w:sz w:val="18"/>
                <w:szCs w:val="18"/>
                <w:color w:val="auto"/>
              </w:rPr>
              <w:t xml:space="preserve"> K. S</w:t>
            </w:r>
            <w:r>
              <w:rPr>
                <w:rFonts w:ascii="Arial" w:cs="Arial" w:eastAsia="Arial" w:hAnsi="Arial"/>
                <w:sz w:val="14"/>
                <w:szCs w:val="14"/>
                <w:color w:val="auto"/>
              </w:rPr>
              <w:t>TAGLIN</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217"/>
        </w:trPr>
        <w:tc>
          <w:tcPr>
            <w:tcW w:w="5040" w:type="dxa"/>
            <w:vAlign w:val="bottom"/>
            <w:gridSpan w:val="2"/>
          </w:tcPr>
          <w:p>
            <w:pPr>
              <w:spacing w:after="0"/>
              <w:rPr>
                <w:sz w:val="20"/>
                <w:szCs w:val="20"/>
                <w:color w:val="auto"/>
              </w:rPr>
            </w:pPr>
            <w:r>
              <w:rPr>
                <w:rFonts w:ascii="Arial" w:cs="Arial" w:eastAsia="Arial" w:hAnsi="Arial"/>
                <w:sz w:val="18"/>
                <w:szCs w:val="18"/>
                <w:color w:val="auto"/>
              </w:rPr>
              <w:t>Garen K. Staglin</w:t>
            </w:r>
          </w:p>
        </w:tc>
        <w:tc>
          <w:tcPr>
            <w:tcW w:w="1160" w:type="dxa"/>
            <w:vAlign w:val="bottom"/>
          </w:tcPr>
          <w:p>
            <w:pPr>
              <w:spacing w:after="0"/>
              <w:rPr>
                <w:sz w:val="18"/>
                <w:szCs w:val="18"/>
                <w:color w:val="auto"/>
              </w:rPr>
            </w:pPr>
          </w:p>
        </w:tc>
      </w:tr>
    </w:tbl>
    <w:p>
      <w:pPr>
        <w:spacing w:after="0" w:line="29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219"/>
          </w:cols>
          <w:pgMar w:left="240" w:top="45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440" w:type="dxa"/>
            <w:vAlign w:val="bottom"/>
          </w:tcPr>
          <w:p>
            <w:pPr>
              <w:ind w:left="21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40" w:type="dxa"/>
            <w:vAlign w:val="bottom"/>
          </w:tcPr>
          <w:p>
            <w:pPr>
              <w:spacing w:after="0"/>
              <w:rPr>
                <w:sz w:val="24"/>
                <w:szCs w:val="24"/>
                <w:color w:val="auto"/>
              </w:rPr>
            </w:pPr>
          </w:p>
        </w:tc>
      </w:t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0"/>
              </w:rPr>
              <w:t>Number</w:t>
            </w:r>
          </w:p>
        </w:tc>
        <w:tc>
          <w:tcPr>
            <w:tcW w:w="10840" w:type="dxa"/>
            <w:vAlign w:val="bottom"/>
            <w:gridSpan w:val="3"/>
          </w:tcPr>
          <w:p>
            <w:pPr>
              <w:ind w:left="88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Debt Securities.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Equity Securities.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1.3*</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Depositary Shares.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1.4*</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Purchase Contracts.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Units.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1.6*</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Warrants.</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2"/>
              </w:rPr>
              <w:t>Amended and Restated Certificate of Incorporation (incorporated by reference to Exhibit 3.1 to the Current Report on Form 8-K filed on</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October 25, 2006).</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1"/>
              </w:rPr>
              <w:t>Third Amended and Restated By-laws (incorporated by reference to Exhibit 3.1 to the Current Report on Form 8-K filed on May 2, 2011).</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0"/>
              </w:rPr>
              <w:t>Specimen Stock Certificate (incorporated by reference to Exhibit 4.1 of Amendment No. 6 to the Registration Statement on Form S-1 (No.</w:t>
            </w:r>
          </w:p>
        </w:tc>
      </w:tr>
      <w:tr>
        <w:trPr>
          <w:trHeight w:val="222"/>
        </w:trPr>
        <w:tc>
          <w:tcPr>
            <w:tcW w:w="520" w:type="dxa"/>
            <w:vAlign w:val="bottom"/>
          </w:tcPr>
          <w:p>
            <w:pPr>
              <w:spacing w:after="0"/>
              <w:rPr>
                <w:sz w:val="19"/>
                <w:szCs w:val="19"/>
                <w:color w:val="auto"/>
              </w:rPr>
            </w:pPr>
          </w:p>
        </w:tc>
        <w:tc>
          <w:tcPr>
            <w:tcW w:w="2400" w:type="dxa"/>
            <w:vAlign w:val="bottom"/>
            <w:gridSpan w:val="2"/>
          </w:tcPr>
          <w:p>
            <w:pPr>
              <w:ind w:left="880"/>
              <w:spacing w:after="0"/>
              <w:rPr>
                <w:sz w:val="20"/>
                <w:szCs w:val="20"/>
                <w:color w:val="auto"/>
              </w:rPr>
            </w:pPr>
            <w:r>
              <w:rPr>
                <w:rFonts w:ascii="Arial" w:cs="Arial" w:eastAsia="Arial" w:hAnsi="Arial"/>
                <w:sz w:val="18"/>
                <w:szCs w:val="18"/>
                <w:color w:val="auto"/>
              </w:rPr>
              <w:t>333-121001)).</w:t>
            </w:r>
          </w:p>
        </w:tc>
        <w:tc>
          <w:tcPr>
            <w:tcW w:w="8440" w:type="dxa"/>
            <w:vAlign w:val="bottom"/>
          </w:tcPr>
          <w:p>
            <w:pPr>
              <w:spacing w:after="0"/>
              <w:rPr>
                <w:sz w:val="19"/>
                <w:szCs w:val="19"/>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3"/>
              </w:rPr>
              <w:t>Registration Rights Agreement (incorporated by reference to Exhibit 4.1 to the Current Report on Form 8-K filed on October 25, 2006).</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1"/>
              </w:rPr>
              <w:t>Form of Indenture to be entered into by ExlService Holdings, Inc. and U.S. Bank National Association, as trustee (the “Senior Indenture”)</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(incorporated by reference to Exhibit 4.3 of Amendment No. 3 to the Registration Statement on Form S-3 (No. 333-162335)).</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4"/>
              </w:rPr>
              <w:t>Form of Indenture to be entered into by ExlService Holdings, Inc. and U.S. Bank National Association, as trustee (the “Subordinated</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1"/>
              </w:rPr>
              <w:t>Indenture”) (incorporated by reference to Exhibit 4.4 of Amendment No. 3 to the Registration Statement on Form S-3 (No. 333-162335)).</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Deposit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Depositary Receipt.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Warrant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Warrant.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Rights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Purchase Contract.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Unit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Opinion of Paul, Weiss, Rifkind, Wharton &amp; Garrison LLP.</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Computation of ratio of earnings to fixed charges of ExlService Holdings, Inc.</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Consent of Ernst &amp; Young.</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23.3</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Consent of Paul, Weiss, Rifkind, Wharton &amp; Garrison LLP (contained in Exhibit 5.1).</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Power of Attorney (included on signature page of this Part II).</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25.1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0"/>
              </w:rPr>
              <w:t>Statement of Eligibility and Qualification on Form T-1 of U.S. Bank National Association with respect to ExlService Holdings, Inc. under the</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Senior Indenture.</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25.2</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0"/>
              </w:rPr>
              <w:t>Statement of Eligibility and Qualification on Form T-1 of U.S. Bank National Association with respect to ExlService Holdings, Inc. under the</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460" w:firstLine="8"/>
        <w:spacing w:after="0" w:line="268" w:lineRule="auto"/>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be filed, if necessary, by a post-effective amendment to the registration statement or as an exhibit to a document incorporated by reference herein. ** To be filed by a pre-effective amendment to the registration statement.</w:t>
      </w:r>
    </w:p>
    <w:p>
      <w:pPr>
        <w:sectPr>
          <w:pgSz w:w="11900" w:h="16838" w:orient="portrait"/>
          <w:cols w:equalWidth="0" w:num="1">
            <w:col w:w="11360"/>
          </w:cols>
          <w:pgMar w:left="240" w:top="459" w:right="299" w:bottom="1440" w:gutter="0" w:footer="0" w:header="0"/>
        </w:sectPr>
      </w:pPr>
    </w:p>
    <w:bookmarkStart w:id="48" w:name="page49"/>
    <w:bookmarkEnd w:id="48"/>
    <w:p>
      <w:pPr>
        <w:ind w:left="10520"/>
        <w:spacing w:after="0"/>
        <w:rPr>
          <w:sz w:val="20"/>
          <w:szCs w:val="20"/>
          <w:color w:val="auto"/>
        </w:rPr>
      </w:pPr>
      <w:r>
        <w:rPr>
          <w:rFonts w:ascii="Arial" w:cs="Arial" w:eastAsia="Arial" w:hAnsi="Arial"/>
          <w:sz w:val="16"/>
          <w:szCs w:val="16"/>
          <w:b w:val="1"/>
          <w:bCs w:val="1"/>
          <w:color w:val="auto"/>
        </w:rPr>
        <w:t>Exhibit 12.1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Computation of Ratio of Earnings to Fixed Charges and Preferred Dividends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12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2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3"/>
              </w:rPr>
              <w:t>2008</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7"/>
          </w:tcPr>
          <w:p>
            <w:pPr>
              <w:ind w:left="360"/>
              <w:spacing w:after="0" w:line="142" w:lineRule="exact"/>
              <w:rPr>
                <w:sz w:val="20"/>
                <w:szCs w:val="20"/>
                <w:color w:val="auto"/>
              </w:rPr>
            </w:pPr>
            <w:r>
              <w:rPr>
                <w:rFonts w:ascii="Arial" w:cs="Arial" w:eastAsia="Arial" w:hAnsi="Arial"/>
                <w:sz w:val="14"/>
                <w:szCs w:val="14"/>
                <w:color w:val="auto"/>
                <w:w w:val="88"/>
              </w:rPr>
              <w:t>(All figures in thousands except ratios)</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(loss) from continuing operations before</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income taxes and minority interests</w:t>
            </w:r>
          </w:p>
        </w:tc>
        <w:tc>
          <w:tcPr>
            <w:tcW w:w="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33,865</w:t>
            </w: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22,177</w:t>
            </w:r>
          </w:p>
        </w:tc>
        <w:tc>
          <w:tcPr>
            <w:tcW w:w="34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32,089</w:t>
            </w: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19,495</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9,797</w:t>
            </w: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16,601</w:t>
            </w: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6,356</w:t>
            </w:r>
          </w:p>
        </w:tc>
        <w:tc>
          <w:tcPr>
            <w:tcW w:w="0" w:type="dxa"/>
            <w:vAlign w:val="bottom"/>
          </w:tcPr>
          <w:p>
            <w:pPr>
              <w:spacing w:after="0"/>
              <w:rPr>
                <w:sz w:val="1"/>
                <w:szCs w:val="1"/>
                <w:color w:val="auto"/>
              </w:rPr>
            </w:pPr>
          </w:p>
        </w:tc>
      </w:tr>
      <w:tr>
        <w:trPr>
          <w:trHeight w:val="156"/>
        </w:trPr>
        <w:tc>
          <w:tcPr>
            <w:tcW w:w="3280" w:type="dxa"/>
            <w:vAlign w:val="bottom"/>
            <w:gridSpan w:val="2"/>
          </w:tcPr>
          <w:p>
            <w:pPr>
              <w:spacing w:after="0" w:line="155" w:lineRule="exact"/>
              <w:rPr>
                <w:sz w:val="20"/>
                <w:szCs w:val="20"/>
                <w:color w:val="auto"/>
              </w:rPr>
            </w:pPr>
            <w:r>
              <w:rPr>
                <w:rFonts w:ascii="Arial" w:cs="Arial" w:eastAsia="Arial" w:hAnsi="Arial"/>
                <w:sz w:val="14"/>
                <w:szCs w:val="14"/>
                <w:color w:val="auto"/>
              </w:rPr>
              <w:t>Fixed charges:</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financial charges (a)</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569</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One-third of rental expense (b)</w:t>
            </w:r>
          </w:p>
        </w:tc>
        <w:tc>
          <w:tcPr>
            <w:tcW w:w="1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3,418</w:t>
            </w: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2,346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3,269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1,951</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1,795</w:t>
            </w:r>
          </w:p>
        </w:tc>
        <w:tc>
          <w:tcPr>
            <w:tcW w:w="1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1,110</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fixed charges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3,987</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2,346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1,951</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1,795</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1,110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45"/>
        </w:trPr>
        <w:tc>
          <w:tcPr>
            <w:tcW w:w="3280" w:type="dxa"/>
            <w:vAlign w:val="bottom"/>
            <w:gridSpan w:val="2"/>
          </w:tcPr>
          <w:p>
            <w:pPr>
              <w:spacing w:after="0" w:line="145" w:lineRule="exact"/>
              <w:rPr>
                <w:sz w:val="20"/>
                <w:szCs w:val="20"/>
                <w:color w:val="auto"/>
              </w:rPr>
            </w:pPr>
            <w:r>
              <w:rPr>
                <w:rFonts w:ascii="Arial" w:cs="Arial" w:eastAsia="Arial" w:hAnsi="Arial"/>
                <w:sz w:val="14"/>
                <w:szCs w:val="14"/>
                <w:color w:val="auto"/>
              </w:rPr>
              <w:t>Adjusted earnings from continuing operations before</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ind w:left="200"/>
              <w:spacing w:after="0" w:line="159" w:lineRule="exact"/>
              <w:rPr>
                <w:sz w:val="20"/>
                <w:szCs w:val="20"/>
                <w:color w:val="auto"/>
              </w:rPr>
            </w:pPr>
            <w:r>
              <w:rPr>
                <w:rFonts w:ascii="Arial" w:cs="Arial" w:eastAsia="Arial" w:hAnsi="Arial"/>
                <w:sz w:val="14"/>
                <w:szCs w:val="14"/>
                <w:color w:val="auto"/>
              </w:rPr>
              <w:t>income taxes and minority interests</w:t>
            </w:r>
          </w:p>
        </w:tc>
        <w:tc>
          <w:tcPr>
            <w:tcW w:w="18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37,852</w:t>
            </w: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24,523</w:t>
            </w:r>
          </w:p>
        </w:tc>
        <w:tc>
          <w:tcPr>
            <w:tcW w:w="3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35,358</w:t>
            </w:r>
          </w:p>
        </w:tc>
        <w:tc>
          <w:tcPr>
            <w:tcW w:w="240" w:type="dxa"/>
            <w:vAlign w:val="bottom"/>
          </w:tcPr>
          <w:p>
            <w:pPr>
              <w:spacing w:after="0"/>
              <w:rPr>
                <w:sz w:val="13"/>
                <w:szCs w:val="13"/>
                <w:color w:val="auto"/>
              </w:rPr>
            </w:pPr>
          </w:p>
        </w:tc>
        <w:tc>
          <w:tcPr>
            <w:tcW w:w="3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21,446</w:t>
            </w:r>
          </w:p>
        </w:tc>
        <w:tc>
          <w:tcPr>
            <w:tcW w:w="420" w:type="dxa"/>
            <w:vAlign w:val="bottom"/>
          </w:tcPr>
          <w:p>
            <w:pPr>
              <w:spacing w:after="0"/>
              <w:rPr>
                <w:sz w:val="13"/>
                <w:szCs w:val="13"/>
                <w:color w:val="auto"/>
              </w:rPr>
            </w:pPr>
          </w:p>
        </w:tc>
        <w:tc>
          <w:tcPr>
            <w:tcW w:w="2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11,591</w:t>
            </w: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17,710</w:t>
            </w: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2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Ratio of earnings to fixed charges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9.5x</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20"/>
              <w:spacing w:after="0" w:line="143" w:lineRule="exact"/>
              <w:rPr>
                <w:sz w:val="20"/>
                <w:szCs w:val="20"/>
                <w:color w:val="auto"/>
              </w:rPr>
            </w:pPr>
            <w:r>
              <w:rPr>
                <w:rFonts w:ascii="Arial" w:cs="Arial" w:eastAsia="Arial" w:hAnsi="Arial"/>
                <w:sz w:val="14"/>
                <w:szCs w:val="14"/>
                <w:color w:val="auto"/>
              </w:rPr>
              <w:t>10.5x</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80"/>
              <w:spacing w:after="0" w:line="143" w:lineRule="exact"/>
              <w:rPr>
                <w:sz w:val="20"/>
                <w:szCs w:val="20"/>
                <w:color w:val="auto"/>
              </w:rPr>
            </w:pPr>
            <w:r>
              <w:rPr>
                <w:rFonts w:ascii="Arial" w:cs="Arial" w:eastAsia="Arial" w:hAnsi="Arial"/>
                <w:sz w:val="14"/>
                <w:szCs w:val="14"/>
                <w:color w:val="auto"/>
              </w:rPr>
              <w:t>10.8x</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00"/>
              <w:spacing w:after="0" w:line="143" w:lineRule="exact"/>
              <w:rPr>
                <w:sz w:val="20"/>
                <w:szCs w:val="20"/>
                <w:color w:val="auto"/>
              </w:rPr>
            </w:pPr>
            <w:r>
              <w:rPr>
                <w:rFonts w:ascii="Arial" w:cs="Arial" w:eastAsia="Arial" w:hAnsi="Arial"/>
                <w:sz w:val="14"/>
                <w:szCs w:val="14"/>
                <w:color w:val="auto"/>
              </w:rPr>
              <w:t>11.0x</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6.5x</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16.0x</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3" w:lineRule="exact"/>
              <w:rPr>
                <w:sz w:val="20"/>
                <w:szCs w:val="20"/>
                <w:color w:val="auto"/>
              </w:rPr>
            </w:pPr>
            <w:r>
              <w:rPr>
                <w:rFonts w:ascii="Arial" w:cs="Arial" w:eastAsia="Arial" w:hAnsi="Arial"/>
                <w:sz w:val="14"/>
                <w:szCs w:val="14"/>
                <w:color w:val="auto"/>
                <w:w w:val="98"/>
              </w:rPr>
              <w:t>7.5x</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Preferred stock dividend requirements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80" w:type="dxa"/>
            <w:vAlign w:val="bottom"/>
            <w:gridSpan w:val="2"/>
            <w:vMerge w:val="continue"/>
          </w:tcPr>
          <w:p>
            <w:pPr>
              <w:spacing w:after="0"/>
              <w:rPr>
                <w:sz w:val="12"/>
                <w:szCs w:val="12"/>
                <w:color w:val="auto"/>
              </w:rPr>
            </w:pP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60"/>
              <w:spacing w:after="0" w:line="143"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20"/>
              <w:spacing w:after="0" w:line="143"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420"/>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8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8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Ratio of earnings before provision for income taxes to</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earnings from continuing operations</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0.9</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0.9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Preferred stock dividend factor on pre-tax basis</w:t>
            </w:r>
          </w:p>
        </w:tc>
        <w:tc>
          <w:tcPr>
            <w:tcW w:w="1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charges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3,987</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2,346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1,951</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1,795</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1,110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45"/>
        </w:trPr>
        <w:tc>
          <w:tcPr>
            <w:tcW w:w="3280" w:type="dxa"/>
            <w:vAlign w:val="bottom"/>
            <w:gridSpan w:val="2"/>
          </w:tcPr>
          <w:p>
            <w:pPr>
              <w:spacing w:after="0" w:line="145" w:lineRule="exact"/>
              <w:rPr>
                <w:sz w:val="20"/>
                <w:szCs w:val="20"/>
                <w:color w:val="auto"/>
              </w:rPr>
            </w:pPr>
            <w:r>
              <w:rPr>
                <w:rFonts w:ascii="Arial" w:cs="Arial" w:eastAsia="Arial" w:hAnsi="Arial"/>
                <w:sz w:val="14"/>
                <w:szCs w:val="14"/>
                <w:color w:val="auto"/>
              </w:rPr>
              <w:t>Total fixed charges and preferred stock dividend</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ind w:left="200"/>
              <w:spacing w:after="0" w:line="159" w:lineRule="exact"/>
              <w:rPr>
                <w:sz w:val="20"/>
                <w:szCs w:val="20"/>
                <w:color w:val="auto"/>
              </w:rPr>
            </w:pPr>
            <w:r>
              <w:rPr>
                <w:rFonts w:ascii="Arial" w:cs="Arial" w:eastAsia="Arial" w:hAnsi="Arial"/>
                <w:sz w:val="14"/>
                <w:szCs w:val="14"/>
                <w:color w:val="auto"/>
              </w:rPr>
              <w:t>requirements</w:t>
            </w:r>
          </w:p>
        </w:tc>
        <w:tc>
          <w:tcPr>
            <w:tcW w:w="18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3,987</w:t>
            </w: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2,346</w:t>
            </w:r>
          </w:p>
        </w:tc>
        <w:tc>
          <w:tcPr>
            <w:tcW w:w="3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3,269</w:t>
            </w:r>
          </w:p>
        </w:tc>
        <w:tc>
          <w:tcPr>
            <w:tcW w:w="240" w:type="dxa"/>
            <w:vAlign w:val="bottom"/>
          </w:tcPr>
          <w:p>
            <w:pPr>
              <w:spacing w:after="0"/>
              <w:rPr>
                <w:sz w:val="13"/>
                <w:szCs w:val="13"/>
                <w:color w:val="auto"/>
              </w:rPr>
            </w:pPr>
          </w:p>
        </w:tc>
        <w:tc>
          <w:tcPr>
            <w:tcW w:w="3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1,951</w:t>
            </w:r>
          </w:p>
        </w:tc>
        <w:tc>
          <w:tcPr>
            <w:tcW w:w="420" w:type="dxa"/>
            <w:vAlign w:val="bottom"/>
          </w:tcPr>
          <w:p>
            <w:pPr>
              <w:spacing w:after="0"/>
              <w:rPr>
                <w:sz w:val="13"/>
                <w:szCs w:val="13"/>
                <w:color w:val="auto"/>
              </w:rPr>
            </w:pPr>
          </w:p>
        </w:tc>
        <w:tc>
          <w:tcPr>
            <w:tcW w:w="2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1,795</w:t>
            </w: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1,110</w:t>
            </w: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Ratio of earnings to combined fixed charges and</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 dividend</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9.5x</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10.5x</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10.8x</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11.0x</w:t>
            </w:r>
          </w:p>
        </w:tc>
        <w:tc>
          <w:tcPr>
            <w:tcW w:w="2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6.5x</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16.0x</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w w:val="98"/>
              </w:rPr>
              <w:t>4.7x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interest on senior long-term debt, interest on preferred stock and amortization of deferred financing and issuance costs.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approximately one-third of rent expense deemed for this purpose to represent the interest component of rental payments.</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S-3) and related Prospectus of ExlService Holdings, Inc. for the registration of common stock, preferred stock, debt securities, depository shares, warrants, rights, purchase contracts and units and to the incorporation by reference therein of our reports dated March 16, 2011, with respect to the consolidated financial statements of ExlService Holdings, Inc. and subsidiaries, and the effectiveness of internal control over financial reporting of ExlService Holdings, Inc. and subsidiaries included in its Annual Report (Form 10-K) for the year ended December 31, 2010, filed with the Securities and Exchange Commission.</w:t>
      </w:r>
    </w:p>
    <w:p>
      <w:pPr>
        <w:spacing w:after="0" w:line="11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19, 2012</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23.2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S-3) and related Prospectus of ExlService Holdings, Inc. and to the incorporation by reference therein of our report dated March 11, 2011 (except for note 16, as to which the date is August 1, 2011) with respect to the consolidated financial statements of Business Process Outsourcing, Inc. for the year ended December 31, 2010.</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Bangalore,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January 19, 2012</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00" w:type="dxa"/>
            <w:vAlign w:val="bottom"/>
            <w:gridSpan w:val="2"/>
          </w:tcPr>
          <w:p>
            <w:pPr>
              <w:jc w:val="right"/>
              <w:ind w:right="681"/>
              <w:spacing w:after="0"/>
              <w:rPr>
                <w:sz w:val="20"/>
                <w:szCs w:val="20"/>
                <w:color w:val="auto"/>
              </w:rPr>
            </w:pPr>
            <w:r>
              <w:rPr>
                <w:rFonts w:ascii="Arial" w:cs="Arial" w:eastAsia="Arial" w:hAnsi="Arial"/>
                <w:sz w:val="18"/>
                <w:szCs w:val="18"/>
                <w:b w:val="1"/>
                <w:bCs w:val="1"/>
                <w:color w:val="auto"/>
              </w:rPr>
              <w:t>31-0841368</w:t>
            </w:r>
          </w:p>
        </w:tc>
        <w:tc>
          <w:tcPr>
            <w:tcW w:w="88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174"/>
        </w:trPr>
        <w:tc>
          <w:tcPr>
            <w:tcW w:w="4520" w:type="dxa"/>
            <w:vAlign w:val="bottom"/>
          </w:tcPr>
          <w:p>
            <w:pPr>
              <w:spacing w:after="0"/>
              <w:rPr>
                <w:sz w:val="15"/>
                <w:szCs w:val="15"/>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9"/>
              </w:rPr>
              <w:t>I.R.S. Employer Identification No.</w:t>
            </w:r>
          </w:p>
        </w:tc>
        <w:tc>
          <w:tcPr>
            <w:tcW w:w="3640" w:type="dxa"/>
            <w:vAlign w:val="bottom"/>
          </w:tcPr>
          <w:p>
            <w:pPr>
              <w:spacing w:after="0"/>
              <w:rPr>
                <w:sz w:val="15"/>
                <w:szCs w:val="15"/>
                <w:color w:val="auto"/>
              </w:rPr>
            </w:pPr>
          </w:p>
        </w:tc>
      </w:tr>
      <w:tr>
        <w:trPr>
          <w:trHeight w:val="391"/>
        </w:trPr>
        <w:tc>
          <w:tcPr>
            <w:tcW w:w="77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1"/>
              </w:rPr>
              <w:t>800 Nicollet Mall</w:t>
            </w:r>
          </w:p>
        </w:tc>
        <w:tc>
          <w:tcPr>
            <w:tcW w:w="3640" w:type="dxa"/>
            <w:vAlign w:val="bottom"/>
          </w:tcPr>
          <w:p>
            <w:pPr>
              <w:spacing w:after="0"/>
              <w:rPr>
                <w:sz w:val="24"/>
                <w:szCs w:val="24"/>
                <w:color w:val="auto"/>
              </w:rPr>
            </w:pPr>
          </w:p>
        </w:tc>
      </w:tr>
      <w:tr>
        <w:trPr>
          <w:trHeight w:val="231"/>
        </w:trPr>
        <w:tc>
          <w:tcPr>
            <w:tcW w:w="77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8"/>
              </w:rPr>
              <w:t>Minneapolis, Minnesota</w:t>
            </w:r>
          </w:p>
        </w:tc>
        <w:tc>
          <w:tcPr>
            <w:tcW w:w="3640" w:type="dxa"/>
            <w:vAlign w:val="bottom"/>
          </w:tcPr>
          <w:p>
            <w:pPr>
              <w:jc w:val="center"/>
              <w:ind w:right="1764"/>
              <w:spacing w:after="0"/>
              <w:rPr>
                <w:sz w:val="20"/>
                <w:szCs w:val="20"/>
                <w:color w:val="auto"/>
              </w:rPr>
            </w:pPr>
            <w:r>
              <w:rPr>
                <w:rFonts w:ascii="Arial" w:cs="Arial" w:eastAsia="Arial" w:hAnsi="Arial"/>
                <w:sz w:val="18"/>
                <w:szCs w:val="18"/>
                <w:b w:val="1"/>
                <w:bCs w:val="1"/>
                <w:color w:val="auto"/>
                <w:w w:val="87"/>
              </w:rPr>
              <w:t>55402</w:t>
            </w:r>
          </w:p>
        </w:tc>
      </w:tr>
      <w:tr>
        <w:trPr>
          <w:trHeight w:val="174"/>
        </w:trPr>
        <w:tc>
          <w:tcPr>
            <w:tcW w:w="778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64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(Zip Code)</w:t>
            </w:r>
          </w:p>
        </w:tc>
      </w:tr>
      <w:tr>
        <w:trPr>
          <w:trHeight w:val="351"/>
        </w:trPr>
        <w:tc>
          <w:tcPr>
            <w:tcW w:w="4520" w:type="dxa"/>
            <w:vAlign w:val="bottom"/>
          </w:tcPr>
          <w:p>
            <w:pPr>
              <w:spacing w:after="0"/>
              <w:rPr>
                <w:sz w:val="24"/>
                <w:szCs w:val="24"/>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6"/>
              </w:rPr>
              <w:t>Wally Jones</w:t>
            </w:r>
          </w:p>
        </w:tc>
        <w:tc>
          <w:tcPr>
            <w:tcW w:w="364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7"/>
              </w:rPr>
              <w:t>U.S. Bank National Association</w:t>
            </w:r>
          </w:p>
        </w:tc>
        <w:tc>
          <w:tcPr>
            <w:tcW w:w="3640" w:type="dxa"/>
            <w:vAlign w:val="bottom"/>
          </w:tcPr>
          <w:p>
            <w:pPr>
              <w:spacing w:after="0"/>
              <w:rPr>
                <w:sz w:val="18"/>
                <w:szCs w:val="18"/>
                <w:color w:val="auto"/>
              </w:rPr>
            </w:pPr>
          </w:p>
        </w:tc>
      </w:tr>
      <w:tr>
        <w:trPr>
          <w:trHeight w:val="216"/>
        </w:trPr>
        <w:tc>
          <w:tcPr>
            <w:tcW w:w="7780" w:type="dxa"/>
            <w:vAlign w:val="bottom"/>
            <w:gridSpan w:val="3"/>
          </w:tcPr>
          <w:p>
            <w:pPr>
              <w:jc w:val="center"/>
              <w:ind w:left="3579"/>
              <w:spacing w:after="0"/>
              <w:rPr>
                <w:sz w:val="20"/>
                <w:szCs w:val="20"/>
                <w:color w:val="auto"/>
              </w:rPr>
            </w:pPr>
            <w:r>
              <w:rPr>
                <w:rFonts w:ascii="Arial" w:cs="Arial" w:eastAsia="Arial" w:hAnsi="Arial"/>
                <w:sz w:val="18"/>
                <w:szCs w:val="18"/>
                <w:b w:val="1"/>
                <w:bCs w:val="1"/>
                <w:color w:val="auto"/>
                <w:w w:val="89"/>
              </w:rPr>
              <w:t>150 Fourth Avenue North, 2</w:t>
            </w:r>
            <w:r>
              <w:rPr>
                <w:rFonts w:ascii="Arial" w:cs="Arial" w:eastAsia="Arial" w:hAnsi="Arial"/>
                <w:sz w:val="11"/>
                <w:szCs w:val="11"/>
                <w:b w:val="1"/>
                <w:bCs w:val="1"/>
                <w:color w:val="auto"/>
                <w:w w:val="89"/>
              </w:rPr>
              <w:t>nd</w:t>
            </w:r>
            <w:r>
              <w:rPr>
                <w:rFonts w:ascii="Arial" w:cs="Arial" w:eastAsia="Arial" w:hAnsi="Arial"/>
                <w:sz w:val="18"/>
                <w:szCs w:val="18"/>
                <w:b w:val="1"/>
                <w:bCs w:val="1"/>
                <w:color w:val="auto"/>
                <w:w w:val="89"/>
              </w:rPr>
              <w:t xml:space="preserve"> Floor</w:t>
            </w:r>
          </w:p>
        </w:tc>
        <w:tc>
          <w:tcPr>
            <w:tcW w:w="36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9"/>
              </w:rPr>
              <w:t>Nashville, TN 37219</w:t>
            </w:r>
          </w:p>
        </w:tc>
        <w:tc>
          <w:tcPr>
            <w:tcW w:w="3640" w:type="dxa"/>
            <w:vAlign w:val="bottom"/>
          </w:tcPr>
          <w:p>
            <w:pPr>
              <w:spacing w:after="0"/>
              <w:rPr>
                <w:sz w:val="18"/>
                <w:szCs w:val="18"/>
                <w:color w:val="auto"/>
              </w:rPr>
            </w:pPr>
          </w:p>
        </w:tc>
      </w:tr>
      <w:tr>
        <w:trPr>
          <w:trHeight w:val="218"/>
        </w:trPr>
        <w:tc>
          <w:tcPr>
            <w:tcW w:w="6900" w:type="dxa"/>
            <w:vAlign w:val="bottom"/>
            <w:gridSpan w:val="2"/>
          </w:tcPr>
          <w:p>
            <w:pPr>
              <w:jc w:val="right"/>
              <w:ind w:right="561"/>
              <w:spacing w:after="0"/>
              <w:rPr>
                <w:sz w:val="20"/>
                <w:szCs w:val="20"/>
                <w:color w:val="auto"/>
              </w:rPr>
            </w:pPr>
            <w:r>
              <w:rPr>
                <w:rFonts w:ascii="Arial" w:cs="Arial" w:eastAsia="Arial" w:hAnsi="Arial"/>
                <w:sz w:val="18"/>
                <w:szCs w:val="18"/>
                <w:b w:val="1"/>
                <w:bCs w:val="1"/>
                <w:color w:val="auto"/>
              </w:rPr>
              <w:t>(615) 251-0733</w:t>
            </w:r>
          </w:p>
        </w:tc>
        <w:tc>
          <w:tcPr>
            <w:tcW w:w="88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174"/>
        </w:trPr>
        <w:tc>
          <w:tcPr>
            <w:tcW w:w="7780" w:type="dxa"/>
            <w:vAlign w:val="bottom"/>
            <w:gridSpan w:val="3"/>
          </w:tcPr>
          <w:p>
            <w:pPr>
              <w:jc w:val="center"/>
              <w:ind w:left="3579"/>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c>
          <w:tcPr>
            <w:tcW w:w="364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3640" w:type="dxa"/>
            <w:vAlign w:val="bottom"/>
          </w:tcPr>
          <w:p>
            <w:pPr>
              <w:spacing w:after="0"/>
              <w:rPr>
                <w:sz w:val="12"/>
                <w:szCs w:val="12"/>
                <w:color w:val="auto"/>
              </w:rPr>
            </w:pPr>
          </w:p>
        </w:tc>
      </w:tr>
      <w:tr>
        <w:trPr>
          <w:trHeight w:val="278"/>
        </w:trPr>
        <w:tc>
          <w:tcPr>
            <w:tcW w:w="7780" w:type="dxa"/>
            <w:vAlign w:val="bottom"/>
            <w:gridSpan w:val="3"/>
          </w:tcPr>
          <w:p>
            <w:pPr>
              <w:jc w:val="center"/>
              <w:ind w:left="3559"/>
              <w:spacing w:after="0"/>
              <w:rPr>
                <w:sz w:val="20"/>
                <w:szCs w:val="20"/>
                <w:color w:val="auto"/>
              </w:rPr>
            </w:pPr>
            <w:r>
              <w:rPr>
                <w:rFonts w:ascii="Arial" w:cs="Arial" w:eastAsia="Arial" w:hAnsi="Arial"/>
                <w:sz w:val="18"/>
                <w:szCs w:val="18"/>
                <w:b w:val="1"/>
                <w:bCs w:val="1"/>
                <w:color w:val="auto"/>
                <w:w w:val="99"/>
              </w:rPr>
              <w:t>EXLSERVICE HOLDINGS, INC.</w:t>
            </w:r>
          </w:p>
        </w:tc>
        <w:tc>
          <w:tcPr>
            <w:tcW w:w="3640" w:type="dxa"/>
            <w:vAlign w:val="bottom"/>
          </w:tcPr>
          <w:p>
            <w:pPr>
              <w:spacing w:after="0"/>
              <w:rPr>
                <w:sz w:val="24"/>
                <w:szCs w:val="24"/>
                <w:color w:val="auto"/>
              </w:rPr>
            </w:pPr>
          </w:p>
        </w:tc>
      </w:tr>
      <w:tr>
        <w:trPr>
          <w:trHeight w:val="174"/>
        </w:trPr>
        <w:tc>
          <w:tcPr>
            <w:tcW w:w="4520" w:type="dxa"/>
            <w:vAlign w:val="bottom"/>
          </w:tcPr>
          <w:p>
            <w:pPr>
              <w:spacing w:after="0"/>
              <w:rPr>
                <w:sz w:val="15"/>
                <w:szCs w:val="15"/>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(Issuer with respect to the Securities)</w:t>
            </w:r>
          </w:p>
        </w:tc>
        <w:tc>
          <w:tcPr>
            <w:tcW w:w="364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3640" w:type="dxa"/>
            <w:vAlign w:val="bottom"/>
          </w:tcPr>
          <w:p>
            <w:pPr>
              <w:spacing w:after="0"/>
              <w:rPr>
                <w:sz w:val="12"/>
                <w:szCs w:val="12"/>
                <w:color w:val="auto"/>
              </w:rPr>
            </w:pPr>
          </w:p>
        </w:tc>
      </w:tr>
      <w:tr>
        <w:trPr>
          <w:trHeight w:val="305"/>
        </w:trPr>
        <w:tc>
          <w:tcPr>
            <w:tcW w:w="778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8"/>
              </w:rPr>
              <w:t>Delaware</w:t>
            </w:r>
          </w:p>
        </w:tc>
        <w:tc>
          <w:tcPr>
            <w:tcW w:w="3640" w:type="dxa"/>
            <w:vAlign w:val="bottom"/>
          </w:tcPr>
          <w:p>
            <w:pPr>
              <w:jc w:val="center"/>
              <w:ind w:right="1764"/>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778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640" w:type="dxa"/>
            <w:vAlign w:val="bottom"/>
          </w:tcPr>
          <w:p>
            <w:pPr>
              <w:jc w:val="center"/>
              <w:ind w:right="17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78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8"/>
              </w:rPr>
              <w:t>incorporation or organization)</w:t>
            </w:r>
          </w:p>
        </w:tc>
        <w:tc>
          <w:tcPr>
            <w:tcW w:w="364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778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8"/>
              </w:rPr>
              <w:t>280 Park Avenue, 38th Floor</w:t>
            </w:r>
          </w:p>
        </w:tc>
        <w:tc>
          <w:tcPr>
            <w:tcW w:w="3640" w:type="dxa"/>
            <w:vAlign w:val="bottom"/>
          </w:tcPr>
          <w:p>
            <w:pPr>
              <w:spacing w:after="0"/>
              <w:rPr>
                <w:sz w:val="24"/>
                <w:szCs w:val="24"/>
                <w:color w:val="auto"/>
              </w:rPr>
            </w:pPr>
          </w:p>
        </w:tc>
      </w:tr>
      <w:tr>
        <w:trPr>
          <w:trHeight w:val="231"/>
        </w:trPr>
        <w:tc>
          <w:tcPr>
            <w:tcW w:w="778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0"/>
              </w:rPr>
              <w:t>New York, New York</w:t>
            </w:r>
          </w:p>
        </w:tc>
        <w:tc>
          <w:tcPr>
            <w:tcW w:w="3640" w:type="dxa"/>
            <w:vAlign w:val="bottom"/>
          </w:tcPr>
          <w:p>
            <w:pPr>
              <w:jc w:val="center"/>
              <w:ind w:right="1764"/>
              <w:spacing w:after="0"/>
              <w:rPr>
                <w:sz w:val="20"/>
                <w:szCs w:val="20"/>
                <w:color w:val="auto"/>
              </w:rPr>
            </w:pPr>
            <w:r>
              <w:rPr>
                <w:rFonts w:ascii="Arial" w:cs="Arial" w:eastAsia="Arial" w:hAnsi="Arial"/>
                <w:sz w:val="18"/>
                <w:szCs w:val="18"/>
                <w:b w:val="1"/>
                <w:bCs w:val="1"/>
                <w:color w:val="auto"/>
                <w:w w:val="87"/>
              </w:rPr>
              <w:t>10017</w:t>
            </w:r>
          </w:p>
        </w:tc>
      </w:tr>
      <w:tr>
        <w:trPr>
          <w:trHeight w:val="174"/>
        </w:trPr>
        <w:tc>
          <w:tcPr>
            <w:tcW w:w="778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64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(Zip Code)</w:t>
            </w:r>
          </w:p>
        </w:tc>
      </w:tr>
      <w:tr>
        <w:trPr>
          <w:trHeight w:val="163"/>
        </w:trPr>
        <w:tc>
          <w:tcPr>
            <w:tcW w:w="45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278"/>
        </w:trPr>
        <w:tc>
          <w:tcPr>
            <w:tcW w:w="4520" w:type="dxa"/>
            <w:vAlign w:val="bottom"/>
          </w:tcPr>
          <w:p>
            <w:pPr>
              <w:spacing w:after="0"/>
              <w:rPr>
                <w:sz w:val="24"/>
                <w:szCs w:val="24"/>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6"/>
              </w:rPr>
              <w:t>Senior Debt Securities</w:t>
            </w:r>
          </w:p>
        </w:tc>
        <w:tc>
          <w:tcPr>
            <w:tcW w:w="3640" w:type="dxa"/>
            <w:vAlign w:val="bottom"/>
          </w:tcPr>
          <w:p>
            <w:pPr>
              <w:spacing w:after="0"/>
              <w:rPr>
                <w:sz w:val="24"/>
                <w:szCs w:val="24"/>
                <w:color w:val="auto"/>
              </w:rPr>
            </w:pPr>
          </w:p>
        </w:tc>
      </w:tr>
      <w:tr>
        <w:trPr>
          <w:trHeight w:val="174"/>
        </w:trPr>
        <w:tc>
          <w:tcPr>
            <w:tcW w:w="4520" w:type="dxa"/>
            <w:vAlign w:val="bottom"/>
          </w:tcPr>
          <w:p>
            <w:pPr>
              <w:spacing w:after="0"/>
              <w:rPr>
                <w:sz w:val="15"/>
                <w:szCs w:val="15"/>
                <w:color w:val="auto"/>
              </w:rPr>
            </w:pPr>
          </w:p>
        </w:tc>
        <w:tc>
          <w:tcPr>
            <w:tcW w:w="32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(Title of the Indenture Securities)</w:t>
            </w:r>
          </w:p>
        </w:tc>
        <w:tc>
          <w:tcPr>
            <w:tcW w:w="3640" w:type="dxa"/>
            <w:vAlign w:val="bottom"/>
          </w:tcPr>
          <w:p>
            <w:pPr>
              <w:spacing w:after="0"/>
              <w:rPr>
                <w:sz w:val="15"/>
                <w:szCs w:val="15"/>
                <w:color w:val="auto"/>
              </w:rPr>
            </w:pPr>
          </w:p>
        </w:tc>
      </w:tr>
      <w:tr>
        <w:trPr>
          <w:trHeight w:val="149"/>
        </w:trPr>
        <w:tc>
          <w:tcPr>
            <w:tcW w:w="45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T-1</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Furnish the following information as to the Trustee.</w:t>
      </w:r>
    </w:p>
    <w:p>
      <w:pPr>
        <w:spacing w:after="0" w:line="9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00" w:right="6280" w:hanging="1046"/>
        <w:spacing w:after="0" w:line="362" w:lineRule="auto"/>
        <w:tabs>
          <w:tab w:leader="none" w:pos="908"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8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ind w:left="1140" w:right="420" w:hanging="1133"/>
        <w:spacing w:after="0" w:line="268" w:lineRule="auto"/>
        <w:tabs>
          <w:tab w:leader="none" w:pos="11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96" w:lineRule="exact"/>
        <w:rPr>
          <w:sz w:val="20"/>
          <w:szCs w:val="20"/>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2011 published pursuant to law or the requirements of its supervising or examining authority, attached as Exhibit 7.</w:t>
      </w:r>
    </w:p>
    <w:p>
      <w:pPr>
        <w:spacing w:after="0" w:line="172" w:lineRule="exact"/>
        <w:rPr>
          <w:rFonts w:ascii="Arial" w:cs="Arial" w:eastAsia="Arial" w:hAnsi="Arial"/>
          <w:sz w:val="18"/>
          <w:szCs w:val="18"/>
          <w:color w:val="auto"/>
        </w:rPr>
      </w:pPr>
    </w:p>
    <w:p>
      <w:pPr>
        <w:ind w:left="460" w:right="140" w:hanging="446"/>
        <w:spacing w:after="0" w:line="254"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333-166527 filed on May 5, 2010.</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3" w:name="page54"/>
    <w:bookmarkEnd w:id="5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Nashville, State of Tennessee on the 18th of January, 2012.</w:t>
      </w:r>
    </w:p>
    <w:p>
      <w:pPr>
        <w:spacing w:after="0" w:line="200" w:lineRule="exact"/>
        <w:rPr>
          <w:sz w:val="20"/>
          <w:szCs w:val="20"/>
          <w:color w:val="auto"/>
        </w:rPr>
      </w:pPr>
    </w:p>
    <w:p>
      <w:pPr>
        <w:spacing w:after="0" w:line="244"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Wally Jones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54" w:name="page55"/>
    <w:bookmarkEnd w:id="54"/>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34645"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46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Comptroller of the Currency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National Banks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20219</w:t>
      </w:r>
    </w:p>
    <w:p>
      <w:pPr>
        <w:spacing w:after="0" w:line="3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CERTIFICATE OF CORPORATE EXISTENCE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John Walsh, Acting Comptroller of the Currency, do hereby certify that:</w:t>
      </w:r>
    </w:p>
    <w:p>
      <w:pPr>
        <w:spacing w:after="0" w:line="171" w:lineRule="exact"/>
        <w:rPr>
          <w:sz w:val="20"/>
          <w:szCs w:val="20"/>
          <w:color w:val="auto"/>
        </w:rPr>
      </w:pPr>
    </w:p>
    <w:p>
      <w:pPr>
        <w:ind w:firstLine="8"/>
        <w:spacing w:after="0" w:line="268" w:lineRule="auto"/>
        <w:tabs>
          <w:tab w:leader="none" w:pos="1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12 U.S.C. 1, et seq., as amended, has possession, custody and control of all records pertaining to the chartering, regulation and supervision of all National Banking Associations.</w:t>
      </w:r>
    </w:p>
    <w:p>
      <w:pPr>
        <w:spacing w:after="0" w:line="131" w:lineRule="exact"/>
        <w:rPr>
          <w:rFonts w:ascii="Arial" w:cs="Arial" w:eastAsia="Arial" w:hAnsi="Arial"/>
          <w:sz w:val="18"/>
          <w:szCs w:val="18"/>
          <w:color w:val="auto"/>
        </w:rPr>
      </w:pPr>
    </w:p>
    <w:p>
      <w:pPr>
        <w:ind w:right="180" w:firstLine="8"/>
        <w:spacing w:after="0" w:line="268" w:lineRule="auto"/>
        <w:tabs>
          <w:tab w:leader="none" w:pos="1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72" w:lineRule="exact"/>
        <w:rPr>
          <w:sz w:val="20"/>
          <w:szCs w:val="20"/>
          <w:color w:val="auto"/>
        </w:rPr>
      </w:pPr>
    </w:p>
    <w:p>
      <w:pPr>
        <w:ind w:left="6040" w:right="120"/>
        <w:spacing w:after="0" w:line="256" w:lineRule="auto"/>
        <w:rPr>
          <w:sz w:val="20"/>
          <w:szCs w:val="20"/>
          <w:color w:val="auto"/>
        </w:rPr>
      </w:pPr>
      <w:r>
        <w:rPr>
          <w:rFonts w:ascii="Arial" w:cs="Arial" w:eastAsia="Arial" w:hAnsi="Arial"/>
          <w:sz w:val="18"/>
          <w:szCs w:val="18"/>
          <w:color w:val="auto"/>
        </w:rPr>
        <w:t>IN TESTIMONY WHERE OF, I have hereunto subscribed my name and caused my seal of office to be affixed to these presents at the Treasury Department, in the City of Washington and District of Columbia, this September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-554990</wp:posOffset>
            </wp:positionV>
            <wp:extent cx="1097915" cy="10979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97915" cy="1097915"/>
                    </a:xfrm>
                    <a:prstGeom prst="rect">
                      <a:avLst/>
                    </a:prstGeom>
                    <a:noFill/>
                  </pic:spPr>
                </pic:pic>
              </a:graphicData>
            </a:graphic>
          </wp:anchor>
        </w:drawing>
      </w:r>
    </w:p>
    <w:p>
      <w:pPr>
        <w:spacing w:after="0" w:line="204"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19685</wp:posOffset>
            </wp:positionV>
            <wp:extent cx="34905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Acting Comptroller of the Currency</w:t>
      </w: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74" w:right="379" w:bottom="1440" w:gutter="0" w:footer="0" w:header="0"/>
        </w:sectPr>
      </w:pPr>
    </w:p>
    <w:bookmarkStart w:id="55" w:name="page56"/>
    <w:bookmarkEnd w:id="55"/>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34645" cy="377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46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Comptroller of the Currency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National Banks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20219</w:t>
      </w:r>
    </w:p>
    <w:p>
      <w:pPr>
        <w:spacing w:after="0" w:line="33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CERTIFICATE OF FIDUCIARY POWERS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John Walsh, Acting Comptroller of the Currency, do hereby certify that:</w:t>
      </w:r>
    </w:p>
    <w:p>
      <w:pPr>
        <w:spacing w:after="0" w:line="90" w:lineRule="exact"/>
        <w:rPr>
          <w:sz w:val="20"/>
          <w:szCs w:val="20"/>
          <w:color w:val="auto"/>
        </w:rPr>
      </w:pPr>
    </w:p>
    <w:p>
      <w:pPr>
        <w:ind w:right="20" w:firstLine="8"/>
        <w:spacing w:after="0" w:line="268" w:lineRule="auto"/>
        <w:tabs>
          <w:tab w:leader="none" w:pos="1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12 U.S.C. 1, et seq., as amended, has possession, custody and control of all records pertaining to the chartering, regulation and supervision of all National Banking Associations.</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Stat.668, 12 U.S.C. 92 a, and that the authority so granted remains in full force and effect on the date of this Certificate.</w:t>
      </w:r>
    </w:p>
    <w:p>
      <w:pPr>
        <w:spacing w:after="0" w:line="181" w:lineRule="exact"/>
        <w:rPr>
          <w:sz w:val="20"/>
          <w:szCs w:val="20"/>
          <w:color w:val="auto"/>
        </w:rPr>
      </w:pPr>
    </w:p>
    <w:p>
      <w:pPr>
        <w:ind w:left="6040" w:right="140"/>
        <w:spacing w:after="0" w:line="256" w:lineRule="auto"/>
        <w:rPr>
          <w:sz w:val="20"/>
          <w:szCs w:val="20"/>
          <w:color w:val="auto"/>
        </w:rPr>
      </w:pPr>
      <w:r>
        <w:rPr>
          <w:rFonts w:ascii="Arial" w:cs="Arial" w:eastAsia="Arial" w:hAnsi="Arial"/>
          <w:sz w:val="18"/>
          <w:szCs w:val="18"/>
          <w:color w:val="auto"/>
        </w:rPr>
        <w:t>IN TESTIMONY WHERE OF, I have hereunto subscribed my name and caused my seal of office to be affixed to these presents at the Treasury Department, in the City of Washington and District of Columbia, this September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-554990</wp:posOffset>
            </wp:positionV>
            <wp:extent cx="1097915" cy="10979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97915" cy="1097915"/>
                    </a:xfrm>
                    <a:prstGeom prst="rect">
                      <a:avLst/>
                    </a:prstGeom>
                    <a:noFill/>
                  </pic:spPr>
                </pic:pic>
              </a:graphicData>
            </a:graphic>
          </wp:anchor>
        </w:drawing>
      </w:r>
    </w:p>
    <w:p>
      <w:pPr>
        <w:spacing w:after="0" w:line="204"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19685</wp:posOffset>
            </wp:positionV>
            <wp:extent cx="34905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Acting Comptroller of the Currency</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74" w:right="359" w:bottom="1440" w:gutter="0" w:footer="0" w:header="0"/>
        </w:sectPr>
      </w:pPr>
    </w:p>
    <w:bookmarkStart w:id="56" w:name="page57"/>
    <w:bookmarkEnd w:id="56"/>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18, 2012</w:t>
      </w:r>
    </w:p>
    <w:p>
      <w:pPr>
        <w:spacing w:after="0" w:line="306"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Wally Jones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9/30/2011</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($000’s)</w:t>
      </w:r>
    </w:p>
    <w:p>
      <w:pPr>
        <w:spacing w:after="0" w:line="21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4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9/30/2011</w:t>
            </w:r>
          </w:p>
        </w:tc>
        <w:tc>
          <w:tcPr>
            <w:tcW w:w="100" w:type="dxa"/>
            <w:vAlign w:val="bottom"/>
            <w:tcBorders>
              <w:bottom w:val="single" w:sz="8" w:color="CCEEFF"/>
            </w:tcBorders>
          </w:tcPr>
          <w:p>
            <w:pPr>
              <w:spacing w:after="0"/>
              <w:rPr>
                <w:sz w:val="14"/>
                <w:szCs w:val="14"/>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Cash and Balances Due From Depository Institutions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13,707,494</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66,888,393</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Federal Funds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&amp; Lease Financing Receivables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197,036,739</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Fixed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5,547,055</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12,420,133</w:t>
            </w:r>
          </w:p>
        </w:tc>
        <w:tc>
          <w:tcPr>
            <w:tcW w:w="100" w:type="dxa"/>
            <w:vAlign w:val="bottom"/>
            <w:shd w:val="clear" w:color="auto" w:fill="CCEEFF"/>
          </w:tcPr>
          <w:p>
            <w:pPr>
              <w:spacing w:after="0"/>
              <w:rPr>
                <w:sz w:val="18"/>
                <w:szCs w:val="18"/>
                <w:color w:val="auto"/>
              </w:rPr>
            </w:pPr>
          </w:p>
        </w:tc>
      </w:tr>
      <w:tr>
        <w:trPr>
          <w:trHeight w:val="223"/>
        </w:trPr>
        <w:tc>
          <w:tcPr>
            <w:tcW w:w="54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23,843,503</w:t>
            </w:r>
          </w:p>
        </w:tc>
        <w:tc>
          <w:tcPr>
            <w:tcW w:w="100" w:type="dxa"/>
            <w:vAlign w:val="bottom"/>
          </w:tcPr>
          <w:p>
            <w:pPr>
              <w:spacing w:after="0"/>
              <w:rPr>
                <w:sz w:val="19"/>
                <w:szCs w:val="19"/>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319,449,271</w:t>
            </w:r>
          </w:p>
        </w:tc>
        <w:tc>
          <w:tcPr>
            <w:tcW w:w="100" w:type="dxa"/>
            <w:vAlign w:val="bottom"/>
            <w:shd w:val="clear" w:color="auto" w:fill="CCEEFF"/>
          </w:tcPr>
          <w:p>
            <w:pPr>
              <w:spacing w:after="0"/>
              <w:rPr>
                <w:sz w:val="18"/>
                <w:szCs w:val="18"/>
                <w:color w:val="auto"/>
              </w:rPr>
            </w:pPr>
          </w:p>
        </w:tc>
      </w:tr>
      <w:tr>
        <w:trPr>
          <w:trHeight w:val="323"/>
        </w:trPr>
        <w:tc>
          <w:tcPr>
            <w:tcW w:w="54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226,338,015</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Fed Funds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7,802,656</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Demand Notes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Trading Liabilities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545,669</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Borrowed Money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35,170,032</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Acceptances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Subordinated Notes and Debentures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6,179,246</w:t>
            </w:r>
          </w:p>
        </w:tc>
        <w:tc>
          <w:tcPr>
            <w:tcW w:w="100" w:type="dxa"/>
            <w:vAlign w:val="bottom"/>
            <w:shd w:val="clear" w:color="auto" w:fill="CCEEFF"/>
          </w:tcPr>
          <w:p>
            <w:pPr>
              <w:spacing w:after="0"/>
              <w:rPr>
                <w:sz w:val="18"/>
                <w:szCs w:val="18"/>
                <w:color w:val="auto"/>
              </w:rPr>
            </w:pPr>
          </w:p>
        </w:tc>
      </w:tr>
      <w:tr>
        <w:trPr>
          <w:trHeight w:val="223"/>
        </w:trPr>
        <w:tc>
          <w:tcPr>
            <w:tcW w:w="542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9,493,484</w:t>
            </w:r>
          </w:p>
        </w:tc>
        <w:tc>
          <w:tcPr>
            <w:tcW w:w="100" w:type="dxa"/>
            <w:vAlign w:val="bottom"/>
          </w:tcPr>
          <w:p>
            <w:pPr>
              <w:spacing w:after="0"/>
              <w:rPr>
                <w:sz w:val="19"/>
                <w:szCs w:val="19"/>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285,529,102</w:t>
            </w:r>
          </w:p>
        </w:tc>
        <w:tc>
          <w:tcPr>
            <w:tcW w:w="100" w:type="dxa"/>
            <w:vAlign w:val="bottom"/>
            <w:shd w:val="clear" w:color="auto" w:fill="CCEEFF"/>
          </w:tcPr>
          <w:p>
            <w:pPr>
              <w:spacing w:after="0"/>
              <w:rPr>
                <w:sz w:val="18"/>
                <w:szCs w:val="18"/>
                <w:color w:val="auto"/>
              </w:rPr>
            </w:pPr>
          </w:p>
        </w:tc>
      </w:tr>
      <w:tr>
        <w:trPr>
          <w:trHeight w:val="323"/>
        </w:trPr>
        <w:tc>
          <w:tcPr>
            <w:tcW w:w="54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 in Subsidiaries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1,912,544</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Common and Preferred Stock</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18,200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Surplus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14,136,872</w:t>
            </w:r>
          </w:p>
        </w:tc>
        <w:tc>
          <w:tcPr>
            <w:tcW w:w="100" w:type="dxa"/>
            <w:vAlign w:val="bottom"/>
            <w:shd w:val="clear" w:color="auto" w:fill="CCEEFF"/>
          </w:tcPr>
          <w:p>
            <w:pPr>
              <w:spacing w:after="0"/>
              <w:rPr>
                <w:sz w:val="18"/>
                <w:szCs w:val="18"/>
                <w:color w:val="auto"/>
              </w:rPr>
            </w:pPr>
          </w:p>
        </w:tc>
      </w:tr>
      <w:tr>
        <w:trPr>
          <w:trHeight w:val="223"/>
        </w:trPr>
        <w:tc>
          <w:tcPr>
            <w:tcW w:w="5420" w:type="dxa"/>
            <w:vAlign w:val="bottom"/>
          </w:tcPr>
          <w:p>
            <w:pPr>
              <w:ind w:left="440"/>
              <w:spacing w:after="0"/>
              <w:rPr>
                <w:sz w:val="20"/>
                <w:szCs w:val="20"/>
                <w:color w:val="auto"/>
              </w:rPr>
            </w:pPr>
            <w:r>
              <w:rPr>
                <w:rFonts w:ascii="Arial" w:cs="Arial" w:eastAsia="Arial" w:hAnsi="Arial"/>
                <w:sz w:val="18"/>
                <w:szCs w:val="18"/>
                <w:color w:val="auto"/>
              </w:rPr>
              <w:t>Undivided Profits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17,852,553</w:t>
            </w:r>
          </w:p>
        </w:tc>
        <w:tc>
          <w:tcPr>
            <w:tcW w:w="100" w:type="dxa"/>
            <w:vAlign w:val="bottom"/>
          </w:tcPr>
          <w:p>
            <w:pPr>
              <w:spacing w:after="0"/>
              <w:rPr>
                <w:sz w:val="19"/>
                <w:szCs w:val="19"/>
                <w:color w:val="auto"/>
              </w:rPr>
            </w:pPr>
          </w:p>
        </w:tc>
      </w:tr>
      <w:tr>
        <w:trPr>
          <w:trHeight w:val="216"/>
        </w:trPr>
        <w:tc>
          <w:tcPr>
            <w:tcW w:w="54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Equity Capital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33,920,169</w:t>
            </w:r>
          </w:p>
        </w:tc>
        <w:tc>
          <w:tcPr>
            <w:tcW w:w="100" w:type="dxa"/>
            <w:vAlign w:val="bottom"/>
            <w:shd w:val="clear" w:color="auto" w:fill="CCEEFF"/>
          </w:tcPr>
          <w:p>
            <w:pPr>
              <w:spacing w:after="0"/>
              <w:rPr>
                <w:sz w:val="18"/>
                <w:szCs w:val="18"/>
                <w:color w:val="auto"/>
              </w:rPr>
            </w:pPr>
          </w:p>
        </w:tc>
      </w:tr>
      <w:tr>
        <w:trPr>
          <w:trHeight w:val="322"/>
        </w:trPr>
        <w:tc>
          <w:tcPr>
            <w:tcW w:w="54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5"/>
              </w:rPr>
              <w:t>319,449,271</w:t>
            </w:r>
          </w:p>
        </w:tc>
        <w:tc>
          <w:tcPr>
            <w:tcW w:w="100" w:type="dxa"/>
            <w:vAlign w:val="bottom"/>
          </w:tcPr>
          <w:p>
            <w:pPr>
              <w:spacing w:after="0"/>
              <w:rPr>
                <w:sz w:val="24"/>
                <w:szCs w:val="24"/>
                <w:color w:val="auto"/>
              </w:rPr>
            </w:pPr>
          </w:p>
        </w:tc>
      </w:tr>
      <w:tr>
        <w:trPr>
          <w:trHeight w:val="365"/>
        </w:trPr>
        <w:tc>
          <w:tcPr>
            <w:tcW w:w="5420" w:type="dxa"/>
            <w:vAlign w:val="bottom"/>
          </w:tcPr>
          <w:p>
            <w:pPr>
              <w:ind w:left="3840"/>
              <w:spacing w:after="0"/>
              <w:rPr>
                <w:sz w:val="20"/>
                <w:szCs w:val="20"/>
                <w:color w:val="auto"/>
              </w:rPr>
            </w:pPr>
            <w:r>
              <w:rPr>
                <w:rFonts w:ascii="Arial" w:cs="Arial" w:eastAsia="Arial" w:hAnsi="Arial"/>
                <w:sz w:val="18"/>
                <w:szCs w:val="18"/>
                <w:color w:val="auto"/>
              </w:rPr>
              <w:t>7</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00" w:type="dxa"/>
            <w:vAlign w:val="bottom"/>
            <w:gridSpan w:val="2"/>
          </w:tcPr>
          <w:p>
            <w:pPr>
              <w:jc w:val="right"/>
              <w:ind w:right="681"/>
              <w:spacing w:after="0"/>
              <w:rPr>
                <w:sz w:val="20"/>
                <w:szCs w:val="20"/>
                <w:color w:val="auto"/>
              </w:rPr>
            </w:pPr>
            <w:r>
              <w:rPr>
                <w:rFonts w:ascii="Arial" w:cs="Arial" w:eastAsia="Arial" w:hAnsi="Arial"/>
                <w:sz w:val="18"/>
                <w:szCs w:val="18"/>
                <w:b w:val="1"/>
                <w:bCs w:val="1"/>
                <w:color w:val="auto"/>
              </w:rPr>
              <w:t>31-0841368</w:t>
            </w:r>
          </w:p>
        </w:tc>
        <w:tc>
          <w:tcPr>
            <w:tcW w:w="88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174"/>
        </w:trPr>
        <w:tc>
          <w:tcPr>
            <w:tcW w:w="4520" w:type="dxa"/>
            <w:vAlign w:val="bottom"/>
          </w:tcPr>
          <w:p>
            <w:pPr>
              <w:spacing w:after="0"/>
              <w:rPr>
                <w:sz w:val="15"/>
                <w:szCs w:val="15"/>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9"/>
              </w:rPr>
              <w:t>I.R.S. Employer Identification No.</w:t>
            </w:r>
          </w:p>
        </w:tc>
        <w:tc>
          <w:tcPr>
            <w:tcW w:w="3640" w:type="dxa"/>
            <w:vAlign w:val="bottom"/>
          </w:tcPr>
          <w:p>
            <w:pPr>
              <w:spacing w:after="0"/>
              <w:rPr>
                <w:sz w:val="15"/>
                <w:szCs w:val="15"/>
                <w:color w:val="auto"/>
              </w:rPr>
            </w:pPr>
          </w:p>
        </w:tc>
      </w:tr>
      <w:tr>
        <w:trPr>
          <w:trHeight w:val="391"/>
        </w:trPr>
        <w:tc>
          <w:tcPr>
            <w:tcW w:w="77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1"/>
              </w:rPr>
              <w:t>800 Nicollet Mall</w:t>
            </w:r>
          </w:p>
        </w:tc>
        <w:tc>
          <w:tcPr>
            <w:tcW w:w="3640" w:type="dxa"/>
            <w:vAlign w:val="bottom"/>
          </w:tcPr>
          <w:p>
            <w:pPr>
              <w:spacing w:after="0"/>
              <w:rPr>
                <w:sz w:val="24"/>
                <w:szCs w:val="24"/>
                <w:color w:val="auto"/>
              </w:rPr>
            </w:pPr>
          </w:p>
        </w:tc>
      </w:tr>
      <w:tr>
        <w:trPr>
          <w:trHeight w:val="231"/>
        </w:trPr>
        <w:tc>
          <w:tcPr>
            <w:tcW w:w="77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8"/>
              </w:rPr>
              <w:t>Minneapolis, Minnesota</w:t>
            </w:r>
          </w:p>
        </w:tc>
        <w:tc>
          <w:tcPr>
            <w:tcW w:w="3640" w:type="dxa"/>
            <w:vAlign w:val="bottom"/>
          </w:tcPr>
          <w:p>
            <w:pPr>
              <w:jc w:val="center"/>
              <w:ind w:right="1764"/>
              <w:spacing w:after="0"/>
              <w:rPr>
                <w:sz w:val="20"/>
                <w:szCs w:val="20"/>
                <w:color w:val="auto"/>
              </w:rPr>
            </w:pPr>
            <w:r>
              <w:rPr>
                <w:rFonts w:ascii="Arial" w:cs="Arial" w:eastAsia="Arial" w:hAnsi="Arial"/>
                <w:sz w:val="18"/>
                <w:szCs w:val="18"/>
                <w:b w:val="1"/>
                <w:bCs w:val="1"/>
                <w:color w:val="auto"/>
                <w:w w:val="87"/>
              </w:rPr>
              <w:t>55402</w:t>
            </w:r>
          </w:p>
        </w:tc>
      </w:tr>
      <w:tr>
        <w:trPr>
          <w:trHeight w:val="174"/>
        </w:trPr>
        <w:tc>
          <w:tcPr>
            <w:tcW w:w="778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64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(Zip Code)</w:t>
            </w:r>
          </w:p>
        </w:tc>
      </w:tr>
      <w:tr>
        <w:trPr>
          <w:trHeight w:val="351"/>
        </w:trPr>
        <w:tc>
          <w:tcPr>
            <w:tcW w:w="4520" w:type="dxa"/>
            <w:vAlign w:val="bottom"/>
          </w:tcPr>
          <w:p>
            <w:pPr>
              <w:spacing w:after="0"/>
              <w:rPr>
                <w:sz w:val="24"/>
                <w:szCs w:val="24"/>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6"/>
              </w:rPr>
              <w:t>Wally Jones</w:t>
            </w:r>
          </w:p>
        </w:tc>
        <w:tc>
          <w:tcPr>
            <w:tcW w:w="364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7"/>
              </w:rPr>
              <w:t>U.S. Bank National Association</w:t>
            </w:r>
          </w:p>
        </w:tc>
        <w:tc>
          <w:tcPr>
            <w:tcW w:w="3640" w:type="dxa"/>
            <w:vAlign w:val="bottom"/>
          </w:tcPr>
          <w:p>
            <w:pPr>
              <w:spacing w:after="0"/>
              <w:rPr>
                <w:sz w:val="18"/>
                <w:szCs w:val="18"/>
                <w:color w:val="auto"/>
              </w:rPr>
            </w:pPr>
          </w:p>
        </w:tc>
      </w:tr>
      <w:tr>
        <w:trPr>
          <w:trHeight w:val="216"/>
        </w:trPr>
        <w:tc>
          <w:tcPr>
            <w:tcW w:w="7780" w:type="dxa"/>
            <w:vAlign w:val="bottom"/>
            <w:gridSpan w:val="3"/>
          </w:tcPr>
          <w:p>
            <w:pPr>
              <w:jc w:val="center"/>
              <w:ind w:left="3579"/>
              <w:spacing w:after="0"/>
              <w:rPr>
                <w:sz w:val="20"/>
                <w:szCs w:val="20"/>
                <w:color w:val="auto"/>
              </w:rPr>
            </w:pPr>
            <w:r>
              <w:rPr>
                <w:rFonts w:ascii="Arial" w:cs="Arial" w:eastAsia="Arial" w:hAnsi="Arial"/>
                <w:sz w:val="18"/>
                <w:szCs w:val="18"/>
                <w:b w:val="1"/>
                <w:bCs w:val="1"/>
                <w:color w:val="auto"/>
                <w:w w:val="89"/>
              </w:rPr>
              <w:t>150 Fourth Avenue North, 2</w:t>
            </w:r>
            <w:r>
              <w:rPr>
                <w:rFonts w:ascii="Arial" w:cs="Arial" w:eastAsia="Arial" w:hAnsi="Arial"/>
                <w:sz w:val="11"/>
                <w:szCs w:val="11"/>
                <w:b w:val="1"/>
                <w:bCs w:val="1"/>
                <w:color w:val="auto"/>
                <w:w w:val="89"/>
              </w:rPr>
              <w:t>nd</w:t>
            </w:r>
            <w:r>
              <w:rPr>
                <w:rFonts w:ascii="Arial" w:cs="Arial" w:eastAsia="Arial" w:hAnsi="Arial"/>
                <w:sz w:val="18"/>
                <w:szCs w:val="18"/>
                <w:b w:val="1"/>
                <w:bCs w:val="1"/>
                <w:color w:val="auto"/>
                <w:w w:val="89"/>
              </w:rPr>
              <w:t xml:space="preserve"> Floor</w:t>
            </w:r>
          </w:p>
        </w:tc>
        <w:tc>
          <w:tcPr>
            <w:tcW w:w="36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9"/>
              </w:rPr>
              <w:t>Nashville, TN 37219</w:t>
            </w:r>
          </w:p>
        </w:tc>
        <w:tc>
          <w:tcPr>
            <w:tcW w:w="3640" w:type="dxa"/>
            <w:vAlign w:val="bottom"/>
          </w:tcPr>
          <w:p>
            <w:pPr>
              <w:spacing w:after="0"/>
              <w:rPr>
                <w:sz w:val="18"/>
                <w:szCs w:val="18"/>
                <w:color w:val="auto"/>
              </w:rPr>
            </w:pPr>
          </w:p>
        </w:tc>
      </w:tr>
      <w:tr>
        <w:trPr>
          <w:trHeight w:val="218"/>
        </w:trPr>
        <w:tc>
          <w:tcPr>
            <w:tcW w:w="6900" w:type="dxa"/>
            <w:vAlign w:val="bottom"/>
            <w:gridSpan w:val="2"/>
          </w:tcPr>
          <w:p>
            <w:pPr>
              <w:jc w:val="right"/>
              <w:ind w:right="561"/>
              <w:spacing w:after="0"/>
              <w:rPr>
                <w:sz w:val="20"/>
                <w:szCs w:val="20"/>
                <w:color w:val="auto"/>
              </w:rPr>
            </w:pPr>
            <w:r>
              <w:rPr>
                <w:rFonts w:ascii="Arial" w:cs="Arial" w:eastAsia="Arial" w:hAnsi="Arial"/>
                <w:sz w:val="18"/>
                <w:szCs w:val="18"/>
                <w:b w:val="1"/>
                <w:bCs w:val="1"/>
                <w:color w:val="auto"/>
              </w:rPr>
              <w:t>(615) 251-0733</w:t>
            </w:r>
          </w:p>
        </w:tc>
        <w:tc>
          <w:tcPr>
            <w:tcW w:w="88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174"/>
        </w:trPr>
        <w:tc>
          <w:tcPr>
            <w:tcW w:w="7780" w:type="dxa"/>
            <w:vAlign w:val="bottom"/>
            <w:gridSpan w:val="3"/>
          </w:tcPr>
          <w:p>
            <w:pPr>
              <w:jc w:val="center"/>
              <w:ind w:left="3579"/>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c>
          <w:tcPr>
            <w:tcW w:w="364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3640" w:type="dxa"/>
            <w:vAlign w:val="bottom"/>
          </w:tcPr>
          <w:p>
            <w:pPr>
              <w:spacing w:after="0"/>
              <w:rPr>
                <w:sz w:val="12"/>
                <w:szCs w:val="12"/>
                <w:color w:val="auto"/>
              </w:rPr>
            </w:pPr>
          </w:p>
        </w:tc>
      </w:tr>
      <w:tr>
        <w:trPr>
          <w:trHeight w:val="278"/>
        </w:trPr>
        <w:tc>
          <w:tcPr>
            <w:tcW w:w="7780" w:type="dxa"/>
            <w:vAlign w:val="bottom"/>
            <w:gridSpan w:val="3"/>
          </w:tcPr>
          <w:p>
            <w:pPr>
              <w:jc w:val="center"/>
              <w:ind w:left="3559"/>
              <w:spacing w:after="0"/>
              <w:rPr>
                <w:sz w:val="20"/>
                <w:szCs w:val="20"/>
                <w:color w:val="auto"/>
              </w:rPr>
            </w:pPr>
            <w:r>
              <w:rPr>
                <w:rFonts w:ascii="Arial" w:cs="Arial" w:eastAsia="Arial" w:hAnsi="Arial"/>
                <w:sz w:val="18"/>
                <w:szCs w:val="18"/>
                <w:b w:val="1"/>
                <w:bCs w:val="1"/>
                <w:color w:val="auto"/>
                <w:w w:val="99"/>
              </w:rPr>
              <w:t>EXLSERVICE HOLDINGS, INC.</w:t>
            </w:r>
          </w:p>
        </w:tc>
        <w:tc>
          <w:tcPr>
            <w:tcW w:w="3640" w:type="dxa"/>
            <w:vAlign w:val="bottom"/>
          </w:tcPr>
          <w:p>
            <w:pPr>
              <w:spacing w:after="0"/>
              <w:rPr>
                <w:sz w:val="24"/>
                <w:szCs w:val="24"/>
                <w:color w:val="auto"/>
              </w:rPr>
            </w:pPr>
          </w:p>
        </w:tc>
      </w:tr>
      <w:tr>
        <w:trPr>
          <w:trHeight w:val="174"/>
        </w:trPr>
        <w:tc>
          <w:tcPr>
            <w:tcW w:w="4520" w:type="dxa"/>
            <w:vAlign w:val="bottom"/>
          </w:tcPr>
          <w:p>
            <w:pPr>
              <w:spacing w:after="0"/>
              <w:rPr>
                <w:sz w:val="15"/>
                <w:szCs w:val="15"/>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(Issuer with respect to the Securities)</w:t>
            </w:r>
          </w:p>
        </w:tc>
        <w:tc>
          <w:tcPr>
            <w:tcW w:w="364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3640" w:type="dxa"/>
            <w:vAlign w:val="bottom"/>
          </w:tcPr>
          <w:p>
            <w:pPr>
              <w:spacing w:after="0"/>
              <w:rPr>
                <w:sz w:val="12"/>
                <w:szCs w:val="12"/>
                <w:color w:val="auto"/>
              </w:rPr>
            </w:pPr>
          </w:p>
        </w:tc>
      </w:tr>
      <w:tr>
        <w:trPr>
          <w:trHeight w:val="305"/>
        </w:trPr>
        <w:tc>
          <w:tcPr>
            <w:tcW w:w="778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8"/>
              </w:rPr>
              <w:t>Delaware</w:t>
            </w:r>
          </w:p>
        </w:tc>
        <w:tc>
          <w:tcPr>
            <w:tcW w:w="3640" w:type="dxa"/>
            <w:vAlign w:val="bottom"/>
          </w:tcPr>
          <w:p>
            <w:pPr>
              <w:jc w:val="center"/>
              <w:ind w:right="1764"/>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778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640" w:type="dxa"/>
            <w:vAlign w:val="bottom"/>
          </w:tcPr>
          <w:p>
            <w:pPr>
              <w:jc w:val="center"/>
              <w:ind w:right="17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78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8"/>
              </w:rPr>
              <w:t>incorporation or organization)</w:t>
            </w:r>
          </w:p>
        </w:tc>
        <w:tc>
          <w:tcPr>
            <w:tcW w:w="364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778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8"/>
              </w:rPr>
              <w:t>280 Park Avenue, 38th Floor</w:t>
            </w:r>
          </w:p>
        </w:tc>
        <w:tc>
          <w:tcPr>
            <w:tcW w:w="3640" w:type="dxa"/>
            <w:vAlign w:val="bottom"/>
          </w:tcPr>
          <w:p>
            <w:pPr>
              <w:spacing w:after="0"/>
              <w:rPr>
                <w:sz w:val="24"/>
                <w:szCs w:val="24"/>
                <w:color w:val="auto"/>
              </w:rPr>
            </w:pPr>
          </w:p>
        </w:tc>
      </w:tr>
      <w:tr>
        <w:trPr>
          <w:trHeight w:val="231"/>
        </w:trPr>
        <w:tc>
          <w:tcPr>
            <w:tcW w:w="778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0"/>
              </w:rPr>
              <w:t>New York, New York</w:t>
            </w:r>
          </w:p>
        </w:tc>
        <w:tc>
          <w:tcPr>
            <w:tcW w:w="3640" w:type="dxa"/>
            <w:vAlign w:val="bottom"/>
          </w:tcPr>
          <w:p>
            <w:pPr>
              <w:jc w:val="center"/>
              <w:ind w:right="1764"/>
              <w:spacing w:after="0"/>
              <w:rPr>
                <w:sz w:val="20"/>
                <w:szCs w:val="20"/>
                <w:color w:val="auto"/>
              </w:rPr>
            </w:pPr>
            <w:r>
              <w:rPr>
                <w:rFonts w:ascii="Arial" w:cs="Arial" w:eastAsia="Arial" w:hAnsi="Arial"/>
                <w:sz w:val="18"/>
                <w:szCs w:val="18"/>
                <w:b w:val="1"/>
                <w:bCs w:val="1"/>
                <w:color w:val="auto"/>
                <w:w w:val="87"/>
              </w:rPr>
              <w:t>10017</w:t>
            </w:r>
          </w:p>
        </w:tc>
      </w:tr>
      <w:tr>
        <w:trPr>
          <w:trHeight w:val="174"/>
        </w:trPr>
        <w:tc>
          <w:tcPr>
            <w:tcW w:w="778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64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(Zip Code)</w:t>
            </w:r>
          </w:p>
        </w:tc>
      </w:tr>
      <w:tr>
        <w:trPr>
          <w:trHeight w:val="163"/>
        </w:trPr>
        <w:tc>
          <w:tcPr>
            <w:tcW w:w="45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278"/>
        </w:trPr>
        <w:tc>
          <w:tcPr>
            <w:tcW w:w="4520" w:type="dxa"/>
            <w:vAlign w:val="bottom"/>
          </w:tcPr>
          <w:p>
            <w:pPr>
              <w:spacing w:after="0"/>
              <w:rPr>
                <w:sz w:val="24"/>
                <w:szCs w:val="24"/>
                <w:color w:val="auto"/>
              </w:rPr>
            </w:pPr>
          </w:p>
        </w:tc>
        <w:tc>
          <w:tcPr>
            <w:tcW w:w="32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7"/>
              </w:rPr>
              <w:t>Subordinated Debt Securities</w:t>
            </w:r>
          </w:p>
        </w:tc>
        <w:tc>
          <w:tcPr>
            <w:tcW w:w="3640" w:type="dxa"/>
            <w:vAlign w:val="bottom"/>
          </w:tcPr>
          <w:p>
            <w:pPr>
              <w:spacing w:after="0"/>
              <w:rPr>
                <w:sz w:val="24"/>
                <w:szCs w:val="24"/>
                <w:color w:val="auto"/>
              </w:rPr>
            </w:pPr>
          </w:p>
        </w:tc>
      </w:tr>
      <w:tr>
        <w:trPr>
          <w:trHeight w:val="174"/>
        </w:trPr>
        <w:tc>
          <w:tcPr>
            <w:tcW w:w="4520" w:type="dxa"/>
            <w:vAlign w:val="bottom"/>
          </w:tcPr>
          <w:p>
            <w:pPr>
              <w:spacing w:after="0"/>
              <w:rPr>
                <w:sz w:val="15"/>
                <w:szCs w:val="15"/>
                <w:color w:val="auto"/>
              </w:rPr>
            </w:pPr>
          </w:p>
        </w:tc>
        <w:tc>
          <w:tcPr>
            <w:tcW w:w="32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(Title of the Indenture Securities)</w:t>
            </w:r>
          </w:p>
        </w:tc>
        <w:tc>
          <w:tcPr>
            <w:tcW w:w="3640" w:type="dxa"/>
            <w:vAlign w:val="bottom"/>
          </w:tcPr>
          <w:p>
            <w:pPr>
              <w:spacing w:after="0"/>
              <w:rPr>
                <w:sz w:val="15"/>
                <w:szCs w:val="15"/>
                <w:color w:val="auto"/>
              </w:rPr>
            </w:pPr>
          </w:p>
        </w:tc>
      </w:tr>
      <w:tr>
        <w:trPr>
          <w:trHeight w:val="149"/>
        </w:trPr>
        <w:tc>
          <w:tcPr>
            <w:tcW w:w="45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125" w:right="239" w:bottom="1440" w:gutter="0" w:footer="0" w:header="0"/>
        </w:sectPr>
      </w:pPr>
    </w:p>
    <w:bookmarkStart w:id="59" w:name="page60"/>
    <w:bookmarkEnd w:id="59"/>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T-1</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Furnish the following information as to the Trustee.</w:t>
      </w:r>
    </w:p>
    <w:p>
      <w:pPr>
        <w:spacing w:after="0" w:line="9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00" w:right="6280" w:hanging="1046"/>
        <w:spacing w:after="0" w:line="362" w:lineRule="auto"/>
        <w:tabs>
          <w:tab w:leader="none" w:pos="908"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8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ind w:left="1140" w:right="420" w:hanging="1133"/>
        <w:spacing w:after="0" w:line="268" w:lineRule="auto"/>
        <w:tabs>
          <w:tab w:leader="none" w:pos="11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96" w:lineRule="exact"/>
        <w:rPr>
          <w:sz w:val="20"/>
          <w:szCs w:val="20"/>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2011 published pursuant to law or the requirements of its supervising or examining authority, attached as Exhibit 7.</w:t>
      </w:r>
    </w:p>
    <w:p>
      <w:pPr>
        <w:spacing w:after="0" w:line="172" w:lineRule="exact"/>
        <w:rPr>
          <w:rFonts w:ascii="Arial" w:cs="Arial" w:eastAsia="Arial" w:hAnsi="Arial"/>
          <w:sz w:val="18"/>
          <w:szCs w:val="18"/>
          <w:color w:val="auto"/>
        </w:rPr>
      </w:pPr>
    </w:p>
    <w:p>
      <w:pPr>
        <w:ind w:left="460" w:right="140" w:hanging="446"/>
        <w:spacing w:after="0" w:line="254"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333-166527 filed on May 5, 2010.</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0" w:name="page61"/>
    <w:bookmarkEnd w:id="60"/>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Nashville, State of Tennessee on the 18th of January, 2012.</w:t>
      </w:r>
    </w:p>
    <w:p>
      <w:pPr>
        <w:spacing w:after="0" w:line="363"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Wally Jones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61" w:name="page62"/>
    <w:bookmarkEnd w:id="61"/>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334645" cy="3771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46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Comptroller of the Currency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National Banks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20219</w:t>
      </w:r>
    </w:p>
    <w:p>
      <w:pPr>
        <w:spacing w:after="0" w:line="3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CERTIFICATE OF CORPORATE EXISTENCE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John Walsh, Acting Comptroller of the Currency, do hereby certify that:</w:t>
      </w:r>
    </w:p>
    <w:p>
      <w:pPr>
        <w:spacing w:after="0" w:line="171" w:lineRule="exact"/>
        <w:rPr>
          <w:sz w:val="20"/>
          <w:szCs w:val="20"/>
          <w:color w:val="auto"/>
        </w:rPr>
      </w:pPr>
    </w:p>
    <w:p>
      <w:pPr>
        <w:ind w:firstLine="8"/>
        <w:spacing w:after="0" w:line="268" w:lineRule="auto"/>
        <w:tabs>
          <w:tab w:leader="none" w:pos="17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12 U.S.C. 1, et seq., as amended, has possession, custody and control of all records pertaining to the chartering, regulation and supervision of all National Banking Associations.</w:t>
      </w:r>
    </w:p>
    <w:p>
      <w:pPr>
        <w:spacing w:after="0" w:line="131" w:lineRule="exact"/>
        <w:rPr>
          <w:rFonts w:ascii="Arial" w:cs="Arial" w:eastAsia="Arial" w:hAnsi="Arial"/>
          <w:sz w:val="18"/>
          <w:szCs w:val="18"/>
          <w:color w:val="auto"/>
        </w:rPr>
      </w:pPr>
    </w:p>
    <w:p>
      <w:pPr>
        <w:ind w:right="180" w:firstLine="8"/>
        <w:spacing w:after="0" w:line="268" w:lineRule="auto"/>
        <w:tabs>
          <w:tab w:leader="none" w:pos="176"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72" w:lineRule="exact"/>
        <w:rPr>
          <w:sz w:val="20"/>
          <w:szCs w:val="20"/>
          <w:color w:val="auto"/>
        </w:rPr>
      </w:pPr>
    </w:p>
    <w:p>
      <w:pPr>
        <w:ind w:left="6040" w:right="120"/>
        <w:spacing w:after="0" w:line="256" w:lineRule="auto"/>
        <w:rPr>
          <w:sz w:val="20"/>
          <w:szCs w:val="20"/>
          <w:color w:val="auto"/>
        </w:rPr>
      </w:pPr>
      <w:r>
        <w:rPr>
          <w:rFonts w:ascii="Arial" w:cs="Arial" w:eastAsia="Arial" w:hAnsi="Arial"/>
          <w:sz w:val="18"/>
          <w:szCs w:val="18"/>
          <w:color w:val="auto"/>
        </w:rPr>
        <w:t>IN TESTIMONY WHERE OF, I have hereunto subscribed my name and caused my seal of office to be affixed to these presents at the Treasury Department, in the City of Washington and District of Columbia, this September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-554990</wp:posOffset>
            </wp:positionV>
            <wp:extent cx="1097915" cy="10979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97915" cy="1097915"/>
                    </a:xfrm>
                    <a:prstGeom prst="rect">
                      <a:avLst/>
                    </a:prstGeom>
                    <a:noFill/>
                  </pic:spPr>
                </pic:pic>
              </a:graphicData>
            </a:graphic>
          </wp:anchor>
        </w:drawing>
      </w:r>
    </w:p>
    <w:p>
      <w:pPr>
        <w:spacing w:after="0" w:line="204"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19685</wp:posOffset>
            </wp:positionV>
            <wp:extent cx="34905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Acting Comptroller of the Currency</w:t>
      </w: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74" w:right="379" w:bottom="1440" w:gutter="0" w:footer="0" w:header="0"/>
        </w:sectPr>
      </w:pPr>
    </w:p>
    <w:bookmarkStart w:id="62" w:name="page63"/>
    <w:bookmarkEnd w:id="62"/>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34645" cy="3771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46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Comptroller of the Currency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National Banks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20219</w:t>
      </w:r>
    </w:p>
    <w:p>
      <w:pPr>
        <w:spacing w:after="0" w:line="33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CERTIFICATE OF FIDUCIARY POWERS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John Walsh, Acting Comptroller of the Currency, do hereby certify that:</w:t>
      </w:r>
    </w:p>
    <w:p>
      <w:pPr>
        <w:spacing w:after="0" w:line="171" w:lineRule="exact"/>
        <w:rPr>
          <w:sz w:val="20"/>
          <w:szCs w:val="20"/>
          <w:color w:val="auto"/>
        </w:rPr>
      </w:pPr>
    </w:p>
    <w:p>
      <w:pPr>
        <w:ind w:right="20" w:firstLine="8"/>
        <w:spacing w:after="0" w:line="268"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12 U.S.C. 1, et seq., as amended, has possession, custody and control of all records pertaining to the chartering, regulation and supervision of all National Banking Associations.</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Stat.668, 12 U.S.C. 92 a, and that the authority so granted remains in full force and effect on the date of this Certificate.</w:t>
      </w:r>
    </w:p>
    <w:p>
      <w:pPr>
        <w:spacing w:after="0" w:line="181" w:lineRule="exact"/>
        <w:rPr>
          <w:sz w:val="20"/>
          <w:szCs w:val="20"/>
          <w:color w:val="auto"/>
        </w:rPr>
      </w:pPr>
    </w:p>
    <w:p>
      <w:pPr>
        <w:ind w:left="6040" w:right="140"/>
        <w:spacing w:after="0" w:line="256" w:lineRule="auto"/>
        <w:rPr>
          <w:sz w:val="20"/>
          <w:szCs w:val="20"/>
          <w:color w:val="auto"/>
        </w:rPr>
      </w:pPr>
      <w:r>
        <w:rPr>
          <w:rFonts w:ascii="Arial" w:cs="Arial" w:eastAsia="Arial" w:hAnsi="Arial"/>
          <w:sz w:val="18"/>
          <w:szCs w:val="18"/>
          <w:color w:val="auto"/>
        </w:rPr>
        <w:t>IN TESTIMONY WHERE OF, I have hereunto subscribed my name and caused my seal of office to be affixed to these presents at the Treasury Department, in the City of Washington and District of Columbia, this September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-554990</wp:posOffset>
            </wp:positionV>
            <wp:extent cx="1097915" cy="10979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97915" cy="1097915"/>
                    </a:xfrm>
                    <a:prstGeom prst="rect">
                      <a:avLst/>
                    </a:prstGeom>
                    <a:noFill/>
                  </pic:spPr>
                </pic:pic>
              </a:graphicData>
            </a:graphic>
          </wp:anchor>
        </w:drawing>
      </w:r>
    </w:p>
    <w:p>
      <w:pPr>
        <w:spacing w:after="0" w:line="204"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19685</wp:posOffset>
            </wp:positionV>
            <wp:extent cx="34905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Acting Comptroller of the Currency</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74" w:right="35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18, 2012</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Wally Jones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9/30/2011</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($000’s)</w:t>
      </w:r>
    </w:p>
    <w:p>
      <w:pPr>
        <w:spacing w:after="0" w:line="21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4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9/30/2011</w:t>
            </w:r>
          </w:p>
        </w:tc>
        <w:tc>
          <w:tcPr>
            <w:tcW w:w="100" w:type="dxa"/>
            <w:vAlign w:val="bottom"/>
            <w:tcBorders>
              <w:bottom w:val="single" w:sz="8" w:color="CCEEFF"/>
            </w:tcBorders>
          </w:tcPr>
          <w:p>
            <w:pPr>
              <w:spacing w:after="0"/>
              <w:rPr>
                <w:sz w:val="14"/>
                <w:szCs w:val="14"/>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Cash and Balances Due From Depository Institutions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13,707,494</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66,888,393</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Federal Funds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&amp; Lease Financing Receivables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197,036,739</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Fixed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5,547,055</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12,420,133</w:t>
            </w:r>
          </w:p>
        </w:tc>
        <w:tc>
          <w:tcPr>
            <w:tcW w:w="100" w:type="dxa"/>
            <w:vAlign w:val="bottom"/>
            <w:shd w:val="clear" w:color="auto" w:fill="CCEEFF"/>
          </w:tcPr>
          <w:p>
            <w:pPr>
              <w:spacing w:after="0"/>
              <w:rPr>
                <w:sz w:val="18"/>
                <w:szCs w:val="18"/>
                <w:color w:val="auto"/>
              </w:rPr>
            </w:pPr>
          </w:p>
        </w:tc>
      </w:tr>
      <w:tr>
        <w:trPr>
          <w:trHeight w:val="223"/>
        </w:trPr>
        <w:tc>
          <w:tcPr>
            <w:tcW w:w="54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23,843,503</w:t>
            </w:r>
          </w:p>
        </w:tc>
        <w:tc>
          <w:tcPr>
            <w:tcW w:w="100" w:type="dxa"/>
            <w:vAlign w:val="bottom"/>
          </w:tcPr>
          <w:p>
            <w:pPr>
              <w:spacing w:after="0"/>
              <w:rPr>
                <w:sz w:val="19"/>
                <w:szCs w:val="19"/>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319,449,271</w:t>
            </w:r>
          </w:p>
        </w:tc>
        <w:tc>
          <w:tcPr>
            <w:tcW w:w="100" w:type="dxa"/>
            <w:vAlign w:val="bottom"/>
            <w:shd w:val="clear" w:color="auto" w:fill="CCEEFF"/>
          </w:tcPr>
          <w:p>
            <w:pPr>
              <w:spacing w:after="0"/>
              <w:rPr>
                <w:sz w:val="18"/>
                <w:szCs w:val="18"/>
                <w:color w:val="auto"/>
              </w:rPr>
            </w:pPr>
          </w:p>
        </w:tc>
      </w:tr>
      <w:tr>
        <w:trPr>
          <w:trHeight w:val="323"/>
        </w:trPr>
        <w:tc>
          <w:tcPr>
            <w:tcW w:w="54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226,338,015</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Fed Funds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7,802,656</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Demand Notes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Trading Liabilities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545,669</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Borrowed Money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35,170,032</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Acceptances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Subordinated Notes and Debentures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6,179,246</w:t>
            </w:r>
          </w:p>
        </w:tc>
        <w:tc>
          <w:tcPr>
            <w:tcW w:w="100" w:type="dxa"/>
            <w:vAlign w:val="bottom"/>
            <w:shd w:val="clear" w:color="auto" w:fill="CCEEFF"/>
          </w:tcPr>
          <w:p>
            <w:pPr>
              <w:spacing w:after="0"/>
              <w:rPr>
                <w:sz w:val="18"/>
                <w:szCs w:val="18"/>
                <w:color w:val="auto"/>
              </w:rPr>
            </w:pPr>
          </w:p>
        </w:tc>
      </w:tr>
      <w:tr>
        <w:trPr>
          <w:trHeight w:val="223"/>
        </w:trPr>
        <w:tc>
          <w:tcPr>
            <w:tcW w:w="542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9,493,484</w:t>
            </w:r>
          </w:p>
        </w:tc>
        <w:tc>
          <w:tcPr>
            <w:tcW w:w="100" w:type="dxa"/>
            <w:vAlign w:val="bottom"/>
          </w:tcPr>
          <w:p>
            <w:pPr>
              <w:spacing w:after="0"/>
              <w:rPr>
                <w:sz w:val="19"/>
                <w:szCs w:val="19"/>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285,529,102</w:t>
            </w:r>
          </w:p>
        </w:tc>
        <w:tc>
          <w:tcPr>
            <w:tcW w:w="100" w:type="dxa"/>
            <w:vAlign w:val="bottom"/>
            <w:shd w:val="clear" w:color="auto" w:fill="CCEEFF"/>
          </w:tcPr>
          <w:p>
            <w:pPr>
              <w:spacing w:after="0"/>
              <w:rPr>
                <w:sz w:val="18"/>
                <w:szCs w:val="18"/>
                <w:color w:val="auto"/>
              </w:rPr>
            </w:pPr>
          </w:p>
        </w:tc>
      </w:tr>
      <w:tr>
        <w:trPr>
          <w:trHeight w:val="323"/>
        </w:trPr>
        <w:tc>
          <w:tcPr>
            <w:tcW w:w="54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 in Subsidiaries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1,912,544</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Common and Preferred Stock</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18,200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Surplus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14,136,872</w:t>
            </w:r>
          </w:p>
        </w:tc>
        <w:tc>
          <w:tcPr>
            <w:tcW w:w="100" w:type="dxa"/>
            <w:vAlign w:val="bottom"/>
            <w:shd w:val="clear" w:color="auto" w:fill="CCEEFF"/>
          </w:tcPr>
          <w:p>
            <w:pPr>
              <w:spacing w:after="0"/>
              <w:rPr>
                <w:sz w:val="18"/>
                <w:szCs w:val="18"/>
                <w:color w:val="auto"/>
              </w:rPr>
            </w:pPr>
          </w:p>
        </w:tc>
      </w:tr>
      <w:tr>
        <w:trPr>
          <w:trHeight w:val="223"/>
        </w:trPr>
        <w:tc>
          <w:tcPr>
            <w:tcW w:w="5420" w:type="dxa"/>
            <w:vAlign w:val="bottom"/>
          </w:tcPr>
          <w:p>
            <w:pPr>
              <w:ind w:left="440"/>
              <w:spacing w:after="0"/>
              <w:rPr>
                <w:sz w:val="20"/>
                <w:szCs w:val="20"/>
                <w:color w:val="auto"/>
              </w:rPr>
            </w:pPr>
            <w:r>
              <w:rPr>
                <w:rFonts w:ascii="Arial" w:cs="Arial" w:eastAsia="Arial" w:hAnsi="Arial"/>
                <w:sz w:val="18"/>
                <w:szCs w:val="18"/>
                <w:color w:val="auto"/>
              </w:rPr>
              <w:t>Undivided Profits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17,852,553</w:t>
            </w:r>
          </w:p>
        </w:tc>
        <w:tc>
          <w:tcPr>
            <w:tcW w:w="100" w:type="dxa"/>
            <w:vAlign w:val="bottom"/>
          </w:tcPr>
          <w:p>
            <w:pPr>
              <w:spacing w:after="0"/>
              <w:rPr>
                <w:sz w:val="19"/>
                <w:szCs w:val="19"/>
                <w:color w:val="auto"/>
              </w:rPr>
            </w:pPr>
          </w:p>
        </w:tc>
      </w:tr>
      <w:tr>
        <w:trPr>
          <w:trHeight w:val="216"/>
        </w:trPr>
        <w:tc>
          <w:tcPr>
            <w:tcW w:w="54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Equity Capital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33,920,169</w:t>
            </w:r>
          </w:p>
        </w:tc>
        <w:tc>
          <w:tcPr>
            <w:tcW w:w="100" w:type="dxa"/>
            <w:vAlign w:val="bottom"/>
            <w:shd w:val="clear" w:color="auto" w:fill="CCEEFF"/>
          </w:tcPr>
          <w:p>
            <w:pPr>
              <w:spacing w:after="0"/>
              <w:rPr>
                <w:sz w:val="18"/>
                <w:szCs w:val="18"/>
                <w:color w:val="auto"/>
              </w:rPr>
            </w:pPr>
          </w:p>
        </w:tc>
      </w:tr>
      <w:tr>
        <w:trPr>
          <w:trHeight w:val="322"/>
        </w:trPr>
        <w:tc>
          <w:tcPr>
            <w:tcW w:w="54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5"/>
              </w:rPr>
              <w:t>319,449,271</w:t>
            </w:r>
          </w:p>
        </w:tc>
        <w:tc>
          <w:tcPr>
            <w:tcW w:w="100" w:type="dxa"/>
            <w:vAlign w:val="bottom"/>
          </w:tcPr>
          <w:p>
            <w:pPr>
              <w:spacing w:after="0"/>
              <w:rPr>
                <w:sz w:val="24"/>
                <w:szCs w:val="24"/>
                <w:color w:val="auto"/>
              </w:rPr>
            </w:pPr>
          </w:p>
        </w:tc>
      </w:tr>
      <w:tr>
        <w:trPr>
          <w:trHeight w:val="365"/>
        </w:trPr>
        <w:tc>
          <w:tcPr>
            <w:tcW w:w="5420" w:type="dxa"/>
            <w:vAlign w:val="bottom"/>
          </w:tcPr>
          <w:p>
            <w:pPr>
              <w:ind w:left="3840"/>
              <w:spacing w:after="0"/>
              <w:rPr>
                <w:sz w:val="20"/>
                <w:szCs w:val="20"/>
                <w:color w:val="auto"/>
              </w:rPr>
            </w:pPr>
            <w:r>
              <w:rPr>
                <w:rFonts w:ascii="Arial" w:cs="Arial" w:eastAsia="Arial" w:hAnsi="Arial"/>
                <w:sz w:val="18"/>
                <w:szCs w:val="18"/>
                <w:color w:val="auto"/>
              </w:rPr>
              <w:t>7</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lowerLetter"/>
      <w:start w:val="1"/>
    </w:lvl>
    <w:lvl w:ilvl="1">
      <w:lvlJc w:val="left"/>
      <w:lvlText w:val="•"/>
      <w:numFmt w:val="bullet"/>
      <w:start w:val="1"/>
    </w:lvl>
  </w:abstractNum>
  <w:abstractNum w:abstractNumId="3">
    <w:nsid w:val="4353D0CD"/>
    <w:multiLevelType w:val="hybridMultilevel"/>
    <w:lvl w:ilvl="0">
      <w:lvlJc w:val="left"/>
      <w:lvlText w:val="%1."/>
      <w:numFmt w:val="lowerLetter"/>
      <w:start w:val="2"/>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lvl w:ilvl="1">
      <w:lvlJc w:val="left"/>
      <w:lvlText w:val="(%2)"/>
      <w:numFmt w:val="lowerRoman"/>
      <w:start w:val="1"/>
    </w:lvl>
  </w:abstractNum>
  <w:abstractNum w:abstractNumId="31">
    <w:nsid w:val="51EAD36B"/>
    <w:multiLevelType w:val="hybridMultilevel"/>
    <w:lvl w:ilvl="0">
      <w:lvlJc w:val="left"/>
      <w:lvlText w:val="(%1)"/>
      <w:numFmt w:val="decimal"/>
      <w:start w:val="2"/>
    </w:lvl>
  </w:abstractNum>
  <w:abstractNum w:abstractNumId="32">
    <w:nsid w:val="2D517796"/>
    <w:multiLevelType w:val="hybridMultilevel"/>
    <w:lvl w:ilvl="0">
      <w:lvlJc w:val="left"/>
      <w:lvlText w:val="(%1)"/>
      <w:numFmt w:val="decimal"/>
      <w:start w:val="3"/>
    </w:lvl>
    <w:lvl w:ilvl="1">
      <w:lvlJc w:val="left"/>
      <w:lvlText w:val="(%2)"/>
      <w:numFmt w:val="lowerRoman"/>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Letter"/>
      <w:start w:val="2"/>
    </w:lvl>
  </w:abstractNum>
  <w:abstractNum w:abstractNumId="37">
    <w:nsid w:val="6A2342EC"/>
    <w:multiLevelType w:val="hybridMultilevel"/>
    <w:lvl w:ilvl="0">
      <w:lvlJc w:val="left"/>
      <w:lvlText w:val="*"/>
      <w:numFmt w:val="bullet"/>
      <w:start w:val="1"/>
    </w:lvl>
    <w:lvl w:ilvl="1">
      <w:lvlJc w:val="left"/>
      <w:lvlText w:val="%2."/>
      <w:numFmt w:val="decimal"/>
      <w:start w:val="1"/>
    </w:lvl>
  </w:abstractNum>
  <w:abstractNum w:abstractNumId="38">
    <w:nsid w:val="2A487CB0"/>
    <w:multiLevelType w:val="hybridMultilevel"/>
    <w:lvl w:ilvl="0">
      <w:lvlJc w:val="left"/>
      <w:lvlText w:val="**"/>
      <w:numFmt w:val="bullet"/>
      <w:start w:val="1"/>
    </w:lvl>
    <w:lvl w:ilvl="1">
      <w:lvlJc w:val="left"/>
      <w:lvlText w:val="%2"/>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lowerLetter"/>
      <w:start w:val="2"/>
    </w:lvl>
  </w:abstractNum>
  <w:abstractNum w:abstractNumId="43">
    <w:nsid w:val="7A6D8D3C"/>
    <w:multiLevelType w:val="hybridMultilevel"/>
    <w:lvl w:ilvl="0">
      <w:lvlJc w:val="left"/>
      <w:lvlText w:val="*"/>
      <w:numFmt w:val="bullet"/>
      <w:start w:val="1"/>
    </w:lvl>
    <w:lvl w:ilvl="1">
      <w:lvlJc w:val="left"/>
      <w:lvlText w:val="%2."/>
      <w:numFmt w:val="decimal"/>
      <w:start w:val="1"/>
    </w:lvl>
  </w:abstractNum>
  <w:abstractNum w:abstractNumId="44">
    <w:nsid w:val="4B588F54"/>
    <w:multiLevelType w:val="hybridMultilevel"/>
    <w:lvl w:ilvl="0">
      <w:lvlJc w:val="left"/>
      <w:lvlText w:val="**"/>
      <w:numFmt w:val="bullet"/>
      <w:start w:val="1"/>
    </w:lvl>
    <w:lvl w:ilvl="1">
      <w:lvlJc w:val="left"/>
      <w:lvlText w:val="%2"/>
      <w:numFmt w:val="decimal"/>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2019-12-09T17:21:00Z</dcterms:created>
  <dcterms:modified xsi:type="dcterms:W3CDTF">2019-12-09T17:21:00Z</dcterms:modified>
</cp:coreProperties>
</file>