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Sections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December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186055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640" w:type="dxa"/>
        <w:tblCellMar>
          <w:top w:w="0" w:type="dxa"/>
          <w:left w:w="0" w:type="dxa"/>
          <w:bottom w:w="0" w:type="dxa"/>
          <w:right w:w="0" w:type="dxa"/>
        </w:tblCellMar>
      </w:tblPr>
      <w:tr>
        <w:trPr>
          <w:trHeight w:val="220"/>
        </w:trPr>
        <w:tc>
          <w:tcPr>
            <w:tcW w:w="24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001-33089</w:t>
            </w:r>
          </w:p>
        </w:tc>
        <w:tc>
          <w:tcPr>
            <w:tcW w:w="1680" w:type="dxa"/>
            <w:vAlign w:val="bottom"/>
          </w:tcPr>
          <w:p>
            <w:pPr>
              <w:jc w:val="right"/>
              <w:ind w:right="130"/>
              <w:spacing w:after="0"/>
              <w:rPr>
                <w:sz w:val="20"/>
                <w:szCs w:val="20"/>
                <w:color w:val="auto"/>
              </w:rPr>
            </w:pPr>
            <w:r>
              <w:rPr>
                <w:rFonts w:ascii="Arial" w:cs="Arial" w:eastAsia="Arial" w:hAnsi="Arial"/>
                <w:sz w:val="18"/>
                <w:szCs w:val="18"/>
                <w:b w:val="1"/>
                <w:bCs w:val="1"/>
                <w:color w:val="auto"/>
              </w:rPr>
              <w:t>82-0572194</w:t>
            </w:r>
          </w:p>
        </w:tc>
      </w:tr>
      <w:tr>
        <w:trPr>
          <w:trHeight w:val="216"/>
        </w:trPr>
        <w:tc>
          <w:tcPr>
            <w:tcW w:w="2440" w:type="dxa"/>
            <w:vAlign w:val="bottom"/>
          </w:tcPr>
          <w:p>
            <w:pPr>
              <w:jc w:val="center"/>
              <w:ind w:right="10"/>
              <w:spacing w:after="0"/>
              <w:rPr>
                <w:sz w:val="20"/>
                <w:szCs w:val="20"/>
                <w:color w:val="auto"/>
              </w:rPr>
            </w:pPr>
            <w:r>
              <w:rPr>
                <w:rFonts w:ascii="Arial" w:cs="Arial" w:eastAsia="Arial" w:hAnsi="Arial"/>
                <w:sz w:val="18"/>
                <w:szCs w:val="18"/>
                <w:color w:val="auto"/>
                <w:w w:val="92"/>
              </w:rPr>
              <w:t>(State or other jurisdiction</w:t>
            </w:r>
          </w:p>
        </w:tc>
        <w:tc>
          <w:tcPr>
            <w:tcW w:w="5340" w:type="dxa"/>
            <w:vAlign w:val="bottom"/>
          </w:tcPr>
          <w:p>
            <w:pPr>
              <w:jc w:val="center"/>
              <w:ind w:right="190"/>
              <w:spacing w:after="0"/>
              <w:rPr>
                <w:sz w:val="20"/>
                <w:szCs w:val="20"/>
                <w:color w:val="auto"/>
              </w:rPr>
            </w:pPr>
            <w:r>
              <w:rPr>
                <w:rFonts w:ascii="Arial" w:cs="Arial" w:eastAsia="Arial" w:hAnsi="Arial"/>
                <w:sz w:val="18"/>
                <w:szCs w:val="18"/>
                <w:color w:val="auto"/>
                <w:w w:val="92"/>
              </w:rPr>
              <w:t>(Commission File Number)</w:t>
            </w:r>
          </w:p>
        </w:tc>
        <w:tc>
          <w:tcPr>
            <w:tcW w:w="1680" w:type="dxa"/>
            <w:vAlign w:val="bottom"/>
          </w:tcPr>
          <w:p>
            <w:pPr>
              <w:jc w:val="center"/>
              <w:ind w:left="270"/>
              <w:spacing w:after="0"/>
              <w:rPr>
                <w:sz w:val="20"/>
                <w:szCs w:val="20"/>
                <w:color w:val="auto"/>
              </w:rPr>
            </w:pPr>
            <w:r>
              <w:rPr>
                <w:rFonts w:ascii="Arial" w:cs="Arial" w:eastAsia="Arial" w:hAnsi="Arial"/>
                <w:sz w:val="18"/>
                <w:szCs w:val="18"/>
                <w:color w:val="auto"/>
                <w:w w:val="93"/>
              </w:rPr>
              <w:t>(I.R.S. Employer</w:t>
            </w:r>
          </w:p>
        </w:tc>
      </w:tr>
      <w:tr>
        <w:trPr>
          <w:trHeight w:val="230"/>
        </w:trPr>
        <w:tc>
          <w:tcPr>
            <w:tcW w:w="2440" w:type="dxa"/>
            <w:vAlign w:val="bottom"/>
          </w:tcPr>
          <w:p>
            <w:pPr>
              <w:jc w:val="center"/>
              <w:spacing w:after="0"/>
              <w:rPr>
                <w:sz w:val="20"/>
                <w:szCs w:val="20"/>
                <w:color w:val="auto"/>
              </w:rPr>
            </w:pPr>
            <w:r>
              <w:rPr>
                <w:rFonts w:ascii="Arial" w:cs="Arial" w:eastAsia="Arial" w:hAnsi="Arial"/>
                <w:sz w:val="18"/>
                <w:szCs w:val="18"/>
                <w:color w:val="auto"/>
                <w:w w:val="92"/>
              </w:rPr>
              <w:t>of incorporation or organization)</w:t>
            </w:r>
          </w:p>
        </w:tc>
        <w:tc>
          <w:tcPr>
            <w:tcW w:w="5340" w:type="dxa"/>
            <w:vAlign w:val="bottom"/>
          </w:tcPr>
          <w:p>
            <w:pPr>
              <w:spacing w:after="0"/>
              <w:rPr>
                <w:sz w:val="20"/>
                <w:szCs w:val="20"/>
                <w:color w:val="auto"/>
              </w:rPr>
            </w:pP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440" w:type="dxa"/>
            <w:vAlign w:val="bottom"/>
          </w:tcPr>
          <w:p>
            <w:pPr>
              <w:spacing w:after="0"/>
              <w:rPr>
                <w:sz w:val="24"/>
                <w:szCs w:val="24"/>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320 Park Avenue, 29th Floor,</w:t>
            </w:r>
          </w:p>
        </w:tc>
        <w:tc>
          <w:tcPr>
            <w:tcW w:w="1680" w:type="dxa"/>
            <w:vAlign w:val="bottom"/>
          </w:tcPr>
          <w:p>
            <w:pPr>
              <w:spacing w:after="0"/>
              <w:rPr>
                <w:sz w:val="24"/>
                <w:szCs w:val="24"/>
                <w:color w:val="auto"/>
              </w:rPr>
            </w:pPr>
          </w:p>
        </w:tc>
      </w:tr>
      <w:tr>
        <w:trPr>
          <w:trHeight w:val="220"/>
        </w:trPr>
        <w:tc>
          <w:tcPr>
            <w:tcW w:w="2440" w:type="dxa"/>
            <w:vAlign w:val="bottom"/>
          </w:tcPr>
          <w:p>
            <w:pPr>
              <w:spacing w:after="0"/>
              <w:rPr>
                <w:sz w:val="19"/>
                <w:szCs w:val="19"/>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New York, New York</w:t>
            </w:r>
          </w:p>
        </w:tc>
        <w:tc>
          <w:tcPr>
            <w:tcW w:w="1680" w:type="dxa"/>
            <w:vAlign w:val="bottom"/>
          </w:tcPr>
          <w:p>
            <w:pPr>
              <w:jc w:val="right"/>
              <w:ind w:right="350"/>
              <w:spacing w:after="0"/>
              <w:rPr>
                <w:sz w:val="20"/>
                <w:szCs w:val="20"/>
                <w:color w:val="auto"/>
              </w:rPr>
            </w:pPr>
            <w:r>
              <w:rPr>
                <w:rFonts w:ascii="Arial" w:cs="Arial" w:eastAsia="Arial" w:hAnsi="Arial"/>
                <w:sz w:val="18"/>
                <w:szCs w:val="18"/>
                <w:b w:val="1"/>
                <w:bCs w:val="1"/>
                <w:color w:val="auto"/>
              </w:rPr>
              <w:t>10022</w:t>
            </w:r>
          </w:p>
        </w:tc>
      </w:tr>
      <w:tr>
        <w:trPr>
          <w:trHeight w:val="230"/>
        </w:trPr>
        <w:tc>
          <w:tcPr>
            <w:tcW w:w="2440" w:type="dxa"/>
            <w:vAlign w:val="bottom"/>
          </w:tcPr>
          <w:p>
            <w:pPr>
              <w:spacing w:after="0"/>
              <w:rPr>
                <w:sz w:val="20"/>
                <w:szCs w:val="20"/>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color w:val="auto"/>
                <w:w w:val="92"/>
              </w:rPr>
              <w:t>(Address of principal executive offices)</w:t>
            </w:r>
          </w:p>
        </w:tc>
        <w:tc>
          <w:tcPr>
            <w:tcW w:w="1680" w:type="dxa"/>
            <w:vAlign w:val="bottom"/>
          </w:tcPr>
          <w:p>
            <w:pPr>
              <w:jc w:val="center"/>
              <w:ind w:left="270"/>
              <w:spacing w:after="0"/>
              <w:rPr>
                <w:sz w:val="20"/>
                <w:szCs w:val="20"/>
                <w:color w:val="auto"/>
              </w:rPr>
            </w:pPr>
            <w:r>
              <w:rPr>
                <w:rFonts w:ascii="Arial" w:cs="Arial" w:eastAsia="Arial" w:hAnsi="Arial"/>
                <w:sz w:val="18"/>
                <w:szCs w:val="18"/>
                <w:color w:val="auto"/>
                <w:w w:val="93"/>
              </w:rPr>
              <w:t>(Zip code)</w:t>
            </w:r>
          </w:p>
        </w:tc>
      </w:tr>
      <w:tr>
        <w:trPr>
          <w:trHeight w:val="432"/>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(212) 277-7100</w:t>
            </w:r>
          </w:p>
        </w:tc>
        <w:tc>
          <w:tcPr>
            <w:tcW w:w="1680" w:type="dxa"/>
            <w:vAlign w:val="bottom"/>
          </w:tcPr>
          <w:p>
            <w:pPr>
              <w:spacing w:after="0"/>
              <w:rPr>
                <w:sz w:val="24"/>
                <w:szCs w:val="24"/>
                <w:color w:val="auto"/>
              </w:rPr>
            </w:pPr>
          </w:p>
        </w:tc>
      </w:tr>
      <w:tr>
        <w:trPr>
          <w:trHeight w:val="418"/>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Arial" w:cs="Arial" w:eastAsia="Arial" w:hAnsi="Arial"/>
                <w:sz w:val="18"/>
                <w:szCs w:val="18"/>
                <w:b w:val="1"/>
                <w:bCs w:val="1"/>
                <w:color w:val="auto"/>
              </w:rPr>
              <w:t>NOT APPLICABLE</w:t>
            </w:r>
          </w:p>
        </w:tc>
        <w:tc>
          <w:tcPr>
            <w:tcW w:w="1680" w:type="dxa"/>
            <w:vAlign w:val="bottom"/>
          </w:tcPr>
          <w:p>
            <w:pPr>
              <w:spacing w:after="0"/>
              <w:rPr>
                <w:sz w:val="24"/>
                <w:szCs w:val="24"/>
                <w:color w:val="auto"/>
              </w:rPr>
            </w:pPr>
          </w:p>
        </w:tc>
      </w:tr>
      <w:tr>
        <w:trPr>
          <w:trHeight w:val="230"/>
        </w:trPr>
        <w:tc>
          <w:tcPr>
            <w:tcW w:w="2440" w:type="dxa"/>
            <w:vAlign w:val="bottom"/>
          </w:tcPr>
          <w:p>
            <w:pPr>
              <w:spacing w:after="0"/>
              <w:rPr>
                <w:sz w:val="20"/>
                <w:szCs w:val="20"/>
                <w:color w:val="auto"/>
              </w:rPr>
            </w:pPr>
          </w:p>
        </w:tc>
        <w:tc>
          <w:tcPr>
            <w:tcW w:w="5340" w:type="dxa"/>
            <w:vAlign w:val="bottom"/>
          </w:tcPr>
          <w:p>
            <w:pPr>
              <w:jc w:val="center"/>
              <w:ind w:right="150"/>
              <w:spacing w:after="0"/>
              <w:rPr>
                <w:sz w:val="20"/>
                <w:szCs w:val="20"/>
                <w:color w:val="auto"/>
              </w:rPr>
            </w:pPr>
            <w:r>
              <w:rPr>
                <w:rFonts w:ascii="Arial" w:cs="Arial" w:eastAsia="Arial" w:hAnsi="Arial"/>
                <w:sz w:val="18"/>
                <w:szCs w:val="18"/>
                <w:color w:val="auto"/>
                <w:w w:val="89"/>
              </w:rPr>
              <w:t>(Former name or address, if changed since last report)</w:t>
            </w:r>
          </w:p>
        </w:tc>
        <w:tc>
          <w:tcPr>
            <w:tcW w:w="16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hanging="652"/>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3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6"/>
        </w:trPr>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EXLS</w:t>
            </w:r>
          </w:p>
        </w:tc>
        <w:tc>
          <w:tcPr>
            <w:tcW w:w="4360" w:type="dxa"/>
            <w:vAlign w:val="bottom"/>
          </w:tcPr>
          <w:p>
            <w:pPr>
              <w:jc w:val="center"/>
              <w:spacing w:after="0"/>
              <w:rPr>
                <w:sz w:val="20"/>
                <w:szCs w:val="20"/>
                <w:color w:val="auto"/>
              </w:rPr>
            </w:pPr>
            <w:r>
              <w:rPr>
                <w:rFonts w:ascii="Arial" w:cs="Arial" w:eastAsia="Arial" w:hAnsi="Arial"/>
                <w:sz w:val="18"/>
                <w:szCs w:val="18"/>
                <w:color w:val="auto"/>
                <w:w w:val="97"/>
              </w:rPr>
              <w:t>NASDAQ</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63"/>
        </w:trPr>
        <w:tc>
          <w:tcPr>
            <w:tcW w:w="374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tcPr>
          <w:p>
            <w:pPr>
              <w:spacing w:after="0"/>
              <w:rPr>
                <w:sz w:val="22"/>
                <w:szCs w:val="22"/>
                <w:color w:val="auto"/>
              </w:rPr>
            </w:pPr>
          </w:p>
        </w:tc>
        <w:tc>
          <w:tcPr>
            <w:tcW w:w="4360" w:type="dxa"/>
            <w:vAlign w:val="bottom"/>
            <w:tcBorders>
              <w:bottom w:val="single" w:sz="8" w:color="auto"/>
            </w:tcBorders>
          </w:tcPr>
          <w:p>
            <w:pPr>
              <w:spacing w:after="0"/>
              <w:rPr>
                <w:sz w:val="22"/>
                <w:szCs w:val="22"/>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459"/>
        </w:trPr>
        <w:tc>
          <w:tcPr>
            <w:tcW w:w="37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December 16, 2021, ExlService.com, LLC (the “Purchaser”), a wholly owned subsidiary of ExlService Holdings, Inc. (the “Company”), entered into an equity securities purchase agreement (the “Purchase Agreement”) with Clairvoyant AI INC. (“Clairvoyant”), the owners of the equity securities of Clairvoyant (the “Sellers”), and a representative of the Sellers, pursuant to which the Purchaser purchased all of the issued and outstanding equity securities of Clairvoyant from the Sellers, subject to certain closing deliverables, in exchange for $80.1 million in cash, subject to certain adjustments for indebtedness, cash and working capital, and potential earn-out consideration of up to $20 million based upon the achievement of certain financial targets in 2022 and 2023. The Company funded the purchase with available cash on hand and borrowing from its credit facility. As represented by Clairvoyant, its unaudited revenues for the last twelve months ended September 30, 2021 were $37.9 million.</w:t>
      </w:r>
    </w:p>
    <w:p>
      <w:pPr>
        <w:spacing w:after="0" w:line="17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Pursuant to the Purchase Agreement, the parties also entered into certain ancillary agreements at the closing of the transaction, including an escrow agreement for indemnification obligations of the Sellers, employments agreements with employees of Clairvoyant and restricted covenants agreements and non-solicitation agreements with Sellers.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 copy of the press release issued by the Company concerning the foregoing is furnished herewith as Exhibit 99.1 and is incorporated herein by reference.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Exhibit No.</w:t>
            </w:r>
          </w:p>
        </w:tc>
        <w:tc>
          <w:tcPr>
            <w:tcW w:w="110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8320" w:type="dxa"/>
            <w:vAlign w:val="bottom"/>
            <w:gridSpan w:val="2"/>
          </w:tcPr>
          <w:p>
            <w:pPr>
              <w:spacing w:after="0"/>
              <w:rPr>
                <w:sz w:val="17"/>
                <w:szCs w:val="17"/>
                <w:color w:val="auto"/>
              </w:rPr>
            </w:pPr>
          </w:p>
        </w:tc>
      </w:tr>
      <w:tr>
        <w:trPr>
          <w:trHeight w:val="250"/>
        </w:trPr>
        <w:tc>
          <w:tcPr>
            <w:tcW w:w="920" w:type="dxa"/>
            <w:vAlign w:val="bottom"/>
            <w:gridSpan w:val="3"/>
          </w:tcPr>
          <w:p>
            <w:pPr>
              <w:ind w:left="40"/>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100" w:type="dxa"/>
            <w:vAlign w:val="bottom"/>
          </w:tcPr>
          <w:p>
            <w:pPr>
              <w:spacing w:after="0"/>
              <w:rPr>
                <w:sz w:val="21"/>
                <w:szCs w:val="21"/>
                <w:color w:val="auto"/>
              </w:rPr>
            </w:pPr>
          </w:p>
        </w:tc>
        <w:tc>
          <w:tcPr>
            <w:tcW w:w="922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December 20, 2021.</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291"/>
        </w:trPr>
        <w:tc>
          <w:tcPr>
            <w:tcW w:w="340" w:type="dxa"/>
            <w:vAlign w:val="bottom"/>
            <w:gridSpan w:val="2"/>
          </w:tcPr>
          <w:p>
            <w:pPr>
              <w:ind w:left="40"/>
              <w:spacing w:after="0"/>
              <w:rPr>
                <w:sz w:val="20"/>
                <w:szCs w:val="20"/>
                <w:color w:val="auto"/>
              </w:rPr>
            </w:pPr>
            <w:r>
              <w:rPr>
                <w:rFonts w:ascii="Arial" w:cs="Arial" w:eastAsia="Arial" w:hAnsi="Arial"/>
                <w:sz w:val="18"/>
                <w:szCs w:val="18"/>
                <w:color w:val="auto"/>
                <w:w w:val="93"/>
              </w:rPr>
              <w:t>104</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Cover Page Interactive Data File (the cover page XBRL tags are embedded within the inline XBRL document)</w:t>
            </w:r>
          </w:p>
        </w:tc>
      </w:tr>
      <w:tr>
        <w:trPr>
          <w:trHeight w:val="702"/>
        </w:trPr>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1" w:lineRule="exact"/>
        <w:rPr>
          <w:sz w:val="20"/>
          <w:szCs w:val="20"/>
          <w:color w:val="auto"/>
        </w:rPr>
      </w:pPr>
    </w:p>
    <w:p>
      <w:pPr>
        <w:ind w:left="40"/>
        <w:spacing w:after="0"/>
        <w:tabs>
          <w:tab w:leader="none" w:pos="5640" w:val="left"/>
          <w:tab w:leader="none" w:pos="6200" w:val="left"/>
        </w:tabs>
        <w:rPr>
          <w:sz w:val="20"/>
          <w:szCs w:val="20"/>
          <w:color w:val="auto"/>
        </w:rPr>
      </w:pPr>
      <w:r>
        <w:rPr>
          <w:rFonts w:ascii="Arial" w:cs="Arial" w:eastAsia="Arial" w:hAnsi="Arial"/>
          <w:sz w:val="18"/>
          <w:szCs w:val="18"/>
          <w:color w:val="auto"/>
        </w:rPr>
        <w:t>December 20,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Ajay Ayyappan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48895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Ajay Ayyappan</w:t>
      </w:r>
    </w:p>
    <w:p>
      <w:pPr>
        <w:spacing w:after="0" w:line="63" w:lineRule="exact"/>
        <w:rPr>
          <w:sz w:val="20"/>
          <w:szCs w:val="20"/>
          <w:color w:val="auto"/>
        </w:rPr>
      </w:pPr>
    </w:p>
    <w:p>
      <w:pPr>
        <w:ind w:left="5660"/>
        <w:spacing w:after="0"/>
        <w:tabs>
          <w:tab w:leader="none" w:pos="6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t>Exhibit 99.1</w:t>
      </w:r>
    </w:p>
    <w:p>
      <w:pPr>
        <w:spacing w:after="0" w:line="272" w:lineRule="exact"/>
        <w:rPr>
          <w:sz w:val="20"/>
          <w:szCs w:val="20"/>
          <w:color w:val="auto"/>
        </w:rPr>
      </w:pPr>
    </w:p>
    <w:p>
      <w:pPr>
        <w:jc w:val="center"/>
        <w:ind w:left="340" w:right="260"/>
        <w:spacing w:after="0" w:line="282" w:lineRule="auto"/>
        <w:rPr>
          <w:sz w:val="20"/>
          <w:szCs w:val="20"/>
          <w:color w:val="auto"/>
        </w:rPr>
      </w:pPr>
      <w:r>
        <w:rPr>
          <w:rFonts w:ascii="Arial" w:cs="Arial" w:eastAsia="Arial" w:hAnsi="Arial"/>
          <w:sz w:val="25"/>
          <w:szCs w:val="25"/>
          <w:b w:val="1"/>
          <w:bCs w:val="1"/>
          <w:color w:val="auto"/>
        </w:rPr>
        <w:t>EXL acquires Clairvoyant, adding scale in data, AI, and cloud engineering to fast-growing analytics business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accelerates EXL’s data-driven strategy by expanding key capabilities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strategic relationships</w:t>
      </w:r>
    </w:p>
    <w:p>
      <w:pPr>
        <w:spacing w:after="0" w:line="207"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 xml:space="preserve">NEW YORK, December 20, 2021 </w:t>
      </w:r>
      <w:r>
        <w:rPr>
          <w:rFonts w:ascii="Arial" w:cs="Arial" w:eastAsia="Arial" w:hAnsi="Arial"/>
          <w:sz w:val="18"/>
          <w:szCs w:val="18"/>
          <w:color w:val="auto"/>
        </w:rPr>
        <w:t>– EXL [NASDAQ: EXLS], a global analytics and digital solutions leader, today announced its acquisition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Clairvoyant, a global data, AI, and cloud services firm. The acquisition strengthens EXL’s capabilities by adding additional expertise in data engineering and cloud enablement, further supporting its clients in insurance, healthcare, banking and financial services, and retail.</w:t>
      </w:r>
    </w:p>
    <w:p>
      <w:pPr>
        <w:spacing w:after="0" w:line="18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With the acquisition, Clairvoyant will become part of EXL’s fast-growing analytics business, which helps clients make sense of data to drive better decision-making across the enterprise and rapidly adapt business strategies in response to market changes. The addition of Clairvoyant’s talent and capabilities in data engineering, AI/ML operations and cloud will accelerate EXL’s data-driven strategy, expanding critical cloud operations capabilities to help our clients drive large-scale digital transformation projects and generate faster value from modern cloud-based data and analytic platforms.</w:t>
      </w:r>
    </w:p>
    <w:p>
      <w:pPr>
        <w:spacing w:after="0" w:line="15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“Data has become the lifeblood of every industry as businesses confront volatile swings in the economy, changes in consumer preferences and the need to continually adapt to new technology,” said Rohit Kapoor, EXL Vice Chairman and Chief Executive Officer. “Clairvoyant has established itself as a leader in data and cloud engineering, bringing many of the key structural components we need to expand our offerings and help our clients harness the power of data to enable better and faster decision making.”</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Founded in 2012, Clairvoyant has consistently been named among the fastest growing and most innovative privately held companies in the U.S. Headquartered in Phoenix, AZ, with multiple offices throughout North America and India, the company employs more than 550 people globally and serves marquee clients in the financial services, retail, healthcare, and tech industries.</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need to quickly aggregate and interpret data has grown exponentially across industries in recent years,” said Vivek Jetley, Executive Vice President and Global Head of Analytics at EXL. “As our clients look to leverage the power of analytics for business advantage, they need to modernize their data capabilities to keep pace. Having worked closely with Clairvoyant, we believe that the combination of our domain expertise, data management and analytics capabilities and their industry-leading data and cloud engineering services will help clients increase agility and speed to value and set the stage for breakthrough solutions.”</w:t>
      </w:r>
    </w:p>
    <w:p>
      <w:pPr>
        <w:spacing w:after="0" w:line="188"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are thrilled to join forces with EXL. We share a culture of fearless innovation and a relentless commitment to helping our clients overcome some of their biggest challenges,” said Chandra Ambadipudi, Co-Founder and Chief Executive Officer at Clairvoyant. "By integrating our capabilities with EXL’s broad reach and expertise, we will be able to add value across a much wider range of clients and unlock exciting new growth opportunities along the way."</w:t>
      </w:r>
    </w:p>
    <w:p>
      <w:pPr>
        <w:spacing w:after="0" w:line="1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transaction was completed in the fourth quarter of 2021. Clairvoyant is expected to be accretive to 2022 adjusted diluted EPS and will be reported in our Analytics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EXL</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EXL (NASDAQ: EXLS) is a global analytics and digital solutions company that partners with clients to improve business outcomes and unlock growth. Bringing together deep domain expertise with robust data, powerful analytics, cloud, and AI, we create agile, scalable solutions and execute complex operations for the world’s leading corporations in industries including insurance, healthcare, banking and financial services, media, and retail, among others. Focused on driving faster decision-making and transforming operating models, EXL was founded on the core values of innovation, collaboration, excellence, integrity and respect. Headquartered in New York, our team is over 34,500 strong, with more than 50 offices spanning six continents. For more information, visit www.exlservice.com.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Clairvoyant</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Clairvoyant is a global technology consulting and services leader that helps organizations in their business transformation by maximizing the value of data through actionable insights. The company provides data engineering, analytics, machine learning, product engineering, and cloud-based solutions to some of the world's largest brands. Founded in 2012, Clairvoyant is headquartered in Phoenix, AZ, with offices in the U.S., Canada, and India. For more information, visit www.clairvoyant.ai.</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Steven N. Barlow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212-624-5913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steven.barlow@exlservice.com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Sherrill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646-419-0778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michael.sherrill@exlservice.com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 Europe, India and APAC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Shailendra 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+91-98104-76075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shailendra.singh@exlservice.com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5" w:name="page6"/>
    <w:bookmarkEnd w:id="5"/>
    <w:p>
      <w:pPr>
        <w:jc w:val="both"/>
        <w:spacing w:after="0" w:line="268" w:lineRule="auto"/>
        <w:rPr>
          <w:sz w:val="20"/>
          <w:szCs w:val="20"/>
          <w:color w:val="auto"/>
        </w:rPr>
      </w:pPr>
      <w:r>
        <w:rPr>
          <w:rFonts w:ascii="Arial" w:cs="Arial" w:eastAsia="Arial" w:hAnsi="Arial"/>
          <w:sz w:val="17"/>
          <w:szCs w:val="17"/>
          <w:i w:val="1"/>
          <w:iCs w:val="1"/>
          <w:color w:val="auto"/>
        </w:rPr>
        <w:t>This press release contains forward-looking statements.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successfully close and integrate strategic acquisitions, our ability to respond to and manage public health crises, including the outbreak and continued effects of the coronavirus (COVID-19) pandemic, are discussed in more detail in EXL’s filings with the Securities and Exchange Commission, including EXL’s Quarterly Report on Form 10-Q and Annual Report on Form 10-K.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44546A"/>
        </w:rPr>
        <w:t>© 2021 ExlService Holdings, Inc. All rights reserved. For more information go to www.exlservice.com/legal-disclaimer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2021-12-20T08:14:01Z</dcterms:created>
  <dcterms:modified xsi:type="dcterms:W3CDTF">2021-12-20T08:14:01Z</dcterms:modified>
</cp:coreProperties>
</file>