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STUDENMUND JAYNIE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05/02/2025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14,580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47.53</w:t>
            </w:r>
            <w:r>
              <w:rPr>
                <w:rFonts w:ascii="Times New Roman" w:cs="Times New Roman" w:eastAsia="Times New Roman" w:hAnsi="Times New Roman"/>
                <w:sz w:val="22"/>
                <w:szCs w:val="22"/>
                <w:color w:val="008000"/>
                <w:vertAlign w:val="superscript"/>
              </w:rPr>
              <w:t>(1)</w:t>
            </w:r>
          </w:p>
        </w:tc>
        <w:tc>
          <w:tcPr>
            <w:tcW w:w="440" w:type="dxa"/>
            <w:vAlign w:val="bottom"/>
          </w:tcPr>
          <w:p>
            <w:pPr>
              <w:spacing w:after="0"/>
              <w:rPr>
                <w:sz w:val="21"/>
                <w:szCs w:val="21"/>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$47.38 to $47.63 per share. The price reported above reflects the weighted average sales price on the date indicated. The reporting person hereby undertakes to provide upon request to the SEC staff, the issuer or a security holder of the issuer full information regarding the number of shares.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05/06/2025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2385"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2025-05-06T16:37:48Z</dcterms:created>
  <dcterms:modified xsi:type="dcterms:W3CDTF">2025-05-06T16:37:48Z</dcterms:modified>
</cp:coreProperties>
</file>