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BAGAI PAVAN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02/22/2021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4"/>
        <w:spacing w:after="0"/>
        <w:rPr>
          <w:sz w:val="20"/>
          <w:szCs w:val="20"/>
          <w:color w:val="auto"/>
        </w:rPr>
      </w:pPr>
      <w:r>
        <w:rPr>
          <w:rFonts w:ascii="Arial" w:cs="Arial" w:eastAsia="Arial" w:hAnsi="Arial"/>
          <w:sz w:val="17"/>
          <w:szCs w:val="17"/>
          <w:color w:val="0000FF"/>
        </w:rPr>
        <w:t>President &amp; COO</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02/22/2021</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Arial" w:cs="Arial" w:eastAsia="Arial" w:hAnsi="Arial"/>
                <w:sz w:val="13"/>
                <w:szCs w:val="13"/>
                <w:color w:val="0000FF"/>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2,650</w:t>
            </w:r>
          </w:p>
        </w:tc>
        <w:tc>
          <w:tcPr>
            <w:tcW w:w="680" w:type="dxa"/>
            <w:vAlign w:val="bottom"/>
          </w:tcPr>
          <w:p>
            <w:pPr>
              <w:jc w:val="right"/>
              <w:ind w:right="136"/>
              <w:spacing w:after="0"/>
              <w:rPr>
                <w:sz w:val="20"/>
                <w:szCs w:val="20"/>
                <w:color w:val="auto"/>
              </w:rPr>
            </w:pPr>
            <w:r>
              <w:rPr>
                <w:rFonts w:ascii="Arial" w:cs="Arial" w:eastAsia="Arial" w:hAnsi="Arial"/>
                <w:sz w:val="17"/>
                <w:szCs w:val="17"/>
                <w:color w:val="0000FF"/>
              </w:rPr>
              <w:t>A</w:t>
            </w:r>
          </w:p>
        </w:tc>
        <w:tc>
          <w:tcPr>
            <w:tcW w:w="520" w:type="dxa"/>
            <w:vAlign w:val="bottom"/>
          </w:tcPr>
          <w:p>
            <w:pPr>
              <w:ind w:left="2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40"/>
              <w:spacing w:after="0"/>
              <w:rPr>
                <w:sz w:val="20"/>
                <w:szCs w:val="20"/>
                <w:color w:val="auto"/>
              </w:rPr>
            </w:pPr>
            <w:r>
              <w:rPr>
                <w:rFonts w:ascii="Arial" w:cs="Arial" w:eastAsia="Arial" w:hAnsi="Arial"/>
                <w:sz w:val="17"/>
                <w:szCs w:val="17"/>
                <w:color w:val="0000FF"/>
              </w:rPr>
              <w:t>55,425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02/22/2021</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1,133</w:t>
            </w:r>
          </w:p>
        </w:tc>
        <w:tc>
          <w:tcPr>
            <w:tcW w:w="680" w:type="dxa"/>
            <w:vAlign w:val="bottom"/>
            <w:tcBorders>
              <w:bottom w:val="single" w:sz="8" w:color="2C2C2C"/>
            </w:tcBorders>
          </w:tcPr>
          <w:p>
            <w:pPr>
              <w:jc w:val="right"/>
              <w:ind w:right="13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80.55</w:t>
            </w:r>
            <w:r>
              <w:rPr>
                <w:rFonts w:ascii="Arial" w:cs="Arial" w:eastAsia="Arial" w:hAnsi="Arial"/>
                <w:sz w:val="21"/>
                <w:szCs w:val="21"/>
                <w:color w:val="008000"/>
                <w:w w:val="92"/>
                <w:vertAlign w:val="superscript"/>
              </w:rPr>
              <w:t>(2)</w:t>
            </w:r>
          </w:p>
        </w:tc>
        <w:tc>
          <w:tcPr>
            <w:tcW w:w="11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54,292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2,650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02/22/2021</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2,650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2,650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6"/>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-2244090</wp:posOffset>
            </wp:positionV>
            <wp:extent cx="7033260" cy="2286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663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22,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2018, the reporting person was granted 10,600 restricted stock units, vesting in four annual installments beginning on the first anniversary of the grant date. 25 percent of the restricted stock units became vested on February 22, 2019, an additional twenty-five percent of the restricted stock units became vested on February 22, 2020, an additional twenty-five percent of the restricted stock units became vested on February 22, 2021; and the remaining balance of twenty-five percent of the restricted stock units will vest on February 22,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413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2021-02-24T16:42:39Z</dcterms:created>
  <dcterms:modified xsi:type="dcterms:W3CDTF">2021-02-24T16:42:39Z</dcterms:modified>
</cp:coreProperties>
</file>