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February 28, 2019</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2019, ExlService Holdings, Inc. (the “Company”) reported its results of operations for the three months and twelve months ended December 31, 2018.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0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w w:val="88"/>
              </w:rPr>
              <w:t>Press Release, dated February 28, 2019 (furnished pursuant to Item 2.02).</w:t>
            </w: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Arial" w:cs="Arial" w:eastAsia="Arial" w:hAnsi="Arial"/>
                <w:sz w:val="18"/>
                <w:szCs w:val="18"/>
                <w:color w:val="auto"/>
              </w:rPr>
              <w:t>Date: February 28, 2019</w:t>
            </w:r>
          </w:p>
        </w:tc>
        <w:tc>
          <w:tcPr>
            <w:tcW w:w="2960" w:type="dxa"/>
            <w:vAlign w:val="bottom"/>
          </w:tcPr>
          <w:p>
            <w:pPr>
              <w:ind w:left="16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400" w:type="dxa"/>
            <w:vAlign w:val="bottom"/>
          </w:tcPr>
          <w:p>
            <w:pPr>
              <w:spacing w:after="0"/>
              <w:rPr>
                <w:sz w:val="23"/>
                <w:szCs w:val="23"/>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ind w:left="228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58"/>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February 28, 2019 (furnished pursuant to Item 2.02)</w:t>
              </w:r>
            </w:hyperlink>
            <w:r>
              <w:rPr>
                <w:rFonts w:ascii="Arial" w:cs="Arial" w:eastAsia="Arial" w:hAnsi="Arial"/>
                <w:sz w:val="18"/>
                <w:szCs w:val="18"/>
                <w:color w:val="000000"/>
                <w:w w:val="88"/>
              </w:rPr>
              <w:t>.</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6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2018 FOURTH QUARTER AND FULL YEAR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2018 Fourth Quarter Revenues of $234.9 Million, up 18.7% year-over-year</w:t>
      </w:r>
    </w:p>
    <w:p>
      <w:pPr>
        <w:jc w:val="center"/>
        <w:spacing w:after="0" w:line="201" w:lineRule="auto"/>
        <w:rPr>
          <w:sz w:val="20"/>
          <w:szCs w:val="20"/>
          <w:color w:val="auto"/>
        </w:rPr>
      </w:pPr>
      <w:r>
        <w:rPr>
          <w:rFonts w:ascii="Arial" w:cs="Arial" w:eastAsia="Arial" w:hAnsi="Arial"/>
          <w:sz w:val="18"/>
          <w:szCs w:val="18"/>
          <w:b w:val="1"/>
          <w:bCs w:val="1"/>
          <w:i w:val="1"/>
          <w:iCs w:val="1"/>
          <w:color w:val="auto"/>
        </w:rPr>
        <w:t>Q4 Diluted EPS (GAAP) of $0.11</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up from ($0.27)</w:t>
      </w:r>
      <w:r>
        <w:rPr>
          <w:rFonts w:ascii="Arial" w:cs="Arial" w:eastAsia="Arial" w:hAnsi="Arial"/>
          <w:sz w:val="25"/>
          <w:szCs w:val="25"/>
          <w:b w:val="1"/>
          <w:bCs w:val="1"/>
          <w:i w:val="1"/>
          <w:iCs w:val="1"/>
          <w:color w:val="auto"/>
          <w:vertAlign w:val="superscript"/>
        </w:rPr>
        <w:t>(2)</w:t>
      </w:r>
      <w:r>
        <w:rPr>
          <w:rFonts w:ascii="Arial" w:cs="Arial" w:eastAsia="Arial" w:hAnsi="Arial"/>
          <w:sz w:val="18"/>
          <w:szCs w:val="18"/>
          <w:b w:val="1"/>
          <w:bCs w:val="1"/>
          <w:i w:val="1"/>
          <w:iCs w:val="1"/>
          <w:color w:val="auto"/>
        </w:rPr>
        <w:t xml:space="preserve"> in Q4 of 2017</w:t>
      </w:r>
    </w:p>
    <w:p>
      <w:pPr>
        <w:jc w:val="center"/>
        <w:spacing w:after="0"/>
        <w:rPr>
          <w:sz w:val="20"/>
          <w:szCs w:val="20"/>
          <w:color w:val="auto"/>
        </w:rPr>
      </w:pPr>
      <w:r>
        <w:rPr>
          <w:rFonts w:ascii="Arial" w:cs="Arial" w:eastAsia="Arial" w:hAnsi="Arial"/>
          <w:sz w:val="18"/>
          <w:szCs w:val="18"/>
          <w:b w:val="1"/>
          <w:bCs w:val="1"/>
          <w:i w:val="1"/>
          <w:iCs w:val="1"/>
          <w:color w:val="auto"/>
        </w:rPr>
        <w:t>Q4 Adjusted Diluted EPS (Non-GAAP) of $0.74, up from $0.67 in Q4 of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2018 Revenues of $883.1 Million, up 15.8% year-over-year</w:t>
      </w:r>
    </w:p>
    <w:p>
      <w:pPr>
        <w:jc w:val="center"/>
        <w:spacing w:after="0" w:line="201" w:lineRule="auto"/>
        <w:rPr>
          <w:sz w:val="20"/>
          <w:szCs w:val="20"/>
          <w:color w:val="auto"/>
        </w:rPr>
      </w:pPr>
      <w:r>
        <w:rPr>
          <w:rFonts w:ascii="Arial" w:cs="Arial" w:eastAsia="Arial" w:hAnsi="Arial"/>
          <w:sz w:val="18"/>
          <w:szCs w:val="18"/>
          <w:b w:val="1"/>
          <w:bCs w:val="1"/>
          <w:i w:val="1"/>
          <w:iCs w:val="1"/>
          <w:color w:val="auto"/>
        </w:rPr>
        <w:t>2018 Diluted EPS (GAAP) of $1.62</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up from $1.39</w:t>
      </w:r>
      <w:r>
        <w:rPr>
          <w:rFonts w:ascii="Arial" w:cs="Arial" w:eastAsia="Arial" w:hAnsi="Arial"/>
          <w:sz w:val="25"/>
          <w:szCs w:val="25"/>
          <w:b w:val="1"/>
          <w:bCs w:val="1"/>
          <w:i w:val="1"/>
          <w:iCs w:val="1"/>
          <w:color w:val="auto"/>
          <w:vertAlign w:val="superscript"/>
        </w:rPr>
        <w:t>(2)</w:t>
      </w:r>
      <w:r>
        <w:rPr>
          <w:rFonts w:ascii="Arial" w:cs="Arial" w:eastAsia="Arial" w:hAnsi="Arial"/>
          <w:sz w:val="18"/>
          <w:szCs w:val="18"/>
          <w:b w:val="1"/>
          <w:bCs w:val="1"/>
          <w:i w:val="1"/>
          <w:iCs w:val="1"/>
          <w:color w:val="auto"/>
        </w:rPr>
        <w:t xml:space="preserve"> in 2017</w:t>
      </w:r>
    </w:p>
    <w:p>
      <w:pPr>
        <w:jc w:val="center"/>
        <w:spacing w:after="0"/>
        <w:rPr>
          <w:sz w:val="20"/>
          <w:szCs w:val="20"/>
          <w:color w:val="auto"/>
        </w:rPr>
      </w:pPr>
      <w:r>
        <w:rPr>
          <w:rFonts w:ascii="Arial" w:cs="Arial" w:eastAsia="Arial" w:hAnsi="Arial"/>
          <w:sz w:val="18"/>
          <w:szCs w:val="18"/>
          <w:b w:val="1"/>
          <w:bCs w:val="1"/>
          <w:i w:val="1"/>
          <w:iCs w:val="1"/>
          <w:color w:val="auto"/>
        </w:rPr>
        <w:t>2018 Adjusted Diluted EPS (Non-GAAP) of $2.77, up from $2.66 in 2017</w:t>
      </w:r>
    </w:p>
    <w:p>
      <w:pPr>
        <w:spacing w:after="0" w:line="26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February 28, 2019 - ExlService Holdings, Inc. (NASDAQ: EXLS), a leading operations management and analytics company, today announced its financial results for the quarter and full year ended December 31, 2018.</w:t>
      </w:r>
    </w:p>
    <w:p>
      <w:pPr>
        <w:spacing w:after="0" w:line="21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Rohit Kapoor, Vice Chairman and Chief Executive Officer, said, “EXL generated revenues of $234.9 million during the fourth quarter of 2018, up 18.7% year-over-year. Our adjusted diluted EPS during the fourth quarter of 2018 was $0.74. For the year 2018, EXL generated revenues of $883.1 million, up 15.8% year-over-year. EXL’s revenue growth was led by a 35.9% increase in Analytics revenues, driven by a 16.8% increase in organic revenue and the acquisition of SCIOinspire Holdings, Inc. Analytics represents 32.3% of EXL’s revenue. Revenues from our operations management businesses grew 8.2% for the full year.</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“In 2018, EXL laid a strong foundation for growth. Building on our success, EXL enters 2019 with a strong pipeline across all operating segments. Our leadership position in our domains and our ability to orchestrate talent, technologies and data delivers improved client revenue growth, profitability and customer experience.”</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Vishal Chhibbar, Chief Financial Officer, said, “In 2018, we generated $92.4 million of cash flow from operations and ended the year with $280.4 million in cash and short term investments, and total borrowings of $284.7 million, for a net debt position of $4.3 million. For 2019, we are providing revenue guidance of $975 million to $1 billion, representing annual revenue growth of 11% to 14% on constant currency basis. Our adjusted diluted earnings per share guidance is $2.90 to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80" w:lineRule="exact"/>
        <w:rPr>
          <w:sz w:val="20"/>
          <w:szCs w:val="20"/>
          <w:color w:val="auto"/>
        </w:rPr>
      </w:pPr>
    </w:p>
    <w:p>
      <w:pPr>
        <w:ind w:right="160" w:firstLine="8"/>
        <w:spacing w:after="0"/>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Includes impact of impairment charges of $20.1 million ($17.0 million net of tax), which reduced our GAAP diluted EPS by $0.49 during the three months ended and year ended December 31, 2018.</w:t>
      </w:r>
    </w:p>
    <w:p>
      <w:pPr>
        <w:spacing w:after="0" w:line="364" w:lineRule="exact"/>
        <w:rPr>
          <w:rFonts w:ascii="Arial" w:cs="Arial" w:eastAsia="Arial" w:hAnsi="Arial"/>
          <w:sz w:val="20"/>
          <w:szCs w:val="20"/>
          <w:color w:val="auto"/>
          <w:vertAlign w:val="superscript"/>
        </w:rPr>
      </w:pPr>
    </w:p>
    <w:p>
      <w:pPr>
        <w:ind w:right="360" w:firstLine="8"/>
        <w:spacing w:after="0" w:line="272" w:lineRule="auto"/>
        <w:tabs>
          <w:tab w:leader="none" w:pos="183" w:val="left"/>
        </w:tabs>
        <w:numPr>
          <w:ilvl w:val="0"/>
          <w:numId w:val="3"/>
        </w:numPr>
        <w:rPr>
          <w:rFonts w:ascii="Arial" w:cs="Arial" w:eastAsia="Arial" w:hAnsi="Arial"/>
          <w:sz w:val="21"/>
          <w:szCs w:val="21"/>
          <w:color w:val="auto"/>
          <w:vertAlign w:val="superscript"/>
        </w:rPr>
      </w:pPr>
      <w:r>
        <w:rPr>
          <w:rFonts w:ascii="Arial" w:cs="Arial" w:eastAsia="Arial" w:hAnsi="Arial"/>
          <w:sz w:val="12"/>
          <w:szCs w:val="12"/>
          <w:color w:val="auto"/>
        </w:rPr>
        <w:t>Includes impact of one-time provisional income tax expense of $29.2 million related to the U.S. Tax Cuts and Jobs Act (“Tax Reform Act”), which reduced our GAAP diluted EPS by $0.83 during the three months ended and year ended December 31, 2017.</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Fourth Quarter 2018</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(consisting of our Banking &amp; Financial Services, Utilities and Consulting operating segments)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December 31, 2018 increased to $234.9 million compared to $197.9 million for the fourth quarter of 2017, an increase of 18.7% on a reported basis and 20.3% on a constant currency basis from the fourth quarter of 2017, as well as an increase of 1.6% sequentially on a reported basis and 2.0% on a constant currency basis, from the third quarter of 2018.</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Gross Margin</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Three months ended</w:t>
            </w:r>
          </w:p>
        </w:tc>
        <w:tc>
          <w:tcPr>
            <w:tcW w:w="2320" w:type="dxa"/>
            <w:vAlign w:val="bottom"/>
            <w:gridSpan w:val="5"/>
          </w:tcPr>
          <w:p>
            <w:pPr>
              <w:jc w:val="center"/>
              <w:ind w:left="739"/>
              <w:spacing w:after="0"/>
              <w:rPr>
                <w:sz w:val="20"/>
                <w:szCs w:val="20"/>
                <w:color w:val="auto"/>
              </w:rPr>
            </w:pPr>
            <w:r>
              <w:rPr>
                <w:rFonts w:ascii="Arial" w:cs="Arial" w:eastAsia="Arial" w:hAnsi="Arial"/>
                <w:sz w:val="16"/>
                <w:szCs w:val="16"/>
                <w:b w:val="1"/>
                <w:bCs w:val="1"/>
                <w:color w:val="auto"/>
                <w:w w:val="90"/>
              </w:rPr>
              <w:t>Three months ended</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 31,</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 30,</w:t>
            </w: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 31,</w:t>
            </w: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Dec 31,</w:t>
            </w:r>
          </w:p>
        </w:tc>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Sept 30,</w:t>
            </w:r>
          </w:p>
        </w:tc>
      </w:tr>
      <w:tr>
        <w:trPr>
          <w:trHeight w:val="303"/>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Pr>
          <w:p>
            <w:pPr>
              <w:spacing w:after="0"/>
              <w:rPr>
                <w:sz w:val="24"/>
                <w:szCs w:val="24"/>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960" w:type="dxa"/>
            <w:vAlign w:val="bottom"/>
          </w:tcPr>
          <w:p>
            <w:pPr>
              <w:jc w:val="center"/>
              <w:spacing w:after="0" w:line="303" w:lineRule="exact"/>
              <w:rPr>
                <w:sz w:val="20"/>
                <w:szCs w:val="20"/>
                <w:color w:val="auto"/>
              </w:rPr>
            </w:pPr>
            <w:r>
              <w:rPr>
                <w:rFonts w:ascii="Arial" w:cs="Arial" w:eastAsia="Arial" w:hAnsi="Arial"/>
                <w:sz w:val="32"/>
                <w:szCs w:val="32"/>
                <w:b w:val="1"/>
                <w:bCs w:val="1"/>
                <w:color w:val="auto"/>
                <w:w w:val="77"/>
                <w:vertAlign w:val="subscript"/>
              </w:rPr>
              <w:t>2017</w:t>
            </w:r>
            <w:r>
              <w:rPr>
                <w:rFonts w:ascii="Arial" w:cs="Arial" w:eastAsia="Arial" w:hAnsi="Arial"/>
                <w:sz w:val="11"/>
                <w:szCs w:val="11"/>
                <w:b w:val="1"/>
                <w:bCs w:val="1"/>
                <w:color w:val="auto"/>
                <w:w w:val="77"/>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6"/>
                <w:szCs w:val="16"/>
                <w:b w:val="1"/>
                <w:bCs w:val="1"/>
                <w:color w:val="auto"/>
              </w:rPr>
              <w:t>2018</w:t>
            </w:r>
          </w:p>
        </w:tc>
      </w:tr>
      <w:tr>
        <w:trPr>
          <w:trHeight w:val="231"/>
        </w:trPr>
        <w:tc>
          <w:tcPr>
            <w:tcW w:w="3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w w:val="92"/>
              </w:rPr>
              <w:t>(dollars in millions)</w:t>
            </w: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31.0%</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32.3%</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22.5%</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Travel, Transportation &amp; Logistics</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40.6%</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42.4%</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&amp; Accounting</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39.2%</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32.5%</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34.7%</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35.1%</w:t>
            </w:r>
          </w:p>
        </w:tc>
      </w:tr>
      <w:tr>
        <w:trPr>
          <w:trHeight w:val="25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 revenues,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197.9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231.1</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w w:val="96"/>
              </w:rPr>
              <w:t>34.0%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w w:val="96"/>
              </w:rPr>
              <w:t>34.7%</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34.2%</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8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loss for the quarter ended December 31, 2018 was 0.9%, compared to an operating income of 8.2% for the fourth quarter of 2017 and 8.5% for the third quarter of 2018. During the fourth quarter of 2018, we recorded an impairment charge</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of $20.1 million related to our Health Integrated acquisition, which reduced our operating income margin by 850 basis points. Adjusted operating income margin for the quarter ended December 31, 2018 was 13.1% compared to 13.3% for the fourth quarter of 2017 and 14.1% for the third quarter of 2018.</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Diluted earnings per share for the quarter ended December 31, 2018 was $0.11, compared to a diluted loss per share of $0.27 for the fourth quarter of</w:t>
      </w:r>
    </w:p>
    <w:p>
      <w:pPr>
        <w:spacing w:after="0" w:line="72" w:lineRule="exact"/>
        <w:rPr>
          <w:rFonts w:ascii="Arial" w:cs="Arial" w:eastAsia="Arial" w:hAnsi="Arial"/>
          <w:sz w:val="16"/>
          <w:szCs w:val="16"/>
          <w:color w:val="auto"/>
        </w:rPr>
      </w:pPr>
    </w:p>
    <w:p>
      <w:pPr>
        <w:jc w:val="both"/>
        <w:ind w:left="660"/>
        <w:spacing w:after="0" w:line="277" w:lineRule="auto"/>
        <w:rPr>
          <w:rFonts w:ascii="Arial" w:cs="Arial" w:eastAsia="Arial" w:hAnsi="Arial"/>
          <w:sz w:val="16"/>
          <w:szCs w:val="16"/>
          <w:color w:val="auto"/>
        </w:rPr>
      </w:pPr>
      <w:r>
        <w:rPr>
          <w:rFonts w:ascii="Arial" w:cs="Arial" w:eastAsia="Arial" w:hAnsi="Arial"/>
          <w:sz w:val="18"/>
          <w:szCs w:val="18"/>
          <w:color w:val="auto"/>
        </w:rPr>
        <w:t>2017 and diluted earnings per share of $0.43 for the third quarter of 2018. During the quarter ended December 31, 2018, we recorded an impairment charge</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of $20.1 million ($17.0 million net of tax) related to our Health Integrated acquisition, which reduced our GAAP diluted EPS by $0.49. During the quarter ended December 31, 2017, we recorded a one-time provisional income tax expense of $29.2 million related to the Tax Reform Act which reduced our GAAP diluted EPS by $0.83. Adjusted diluted earnings per share for the quarter ended December 31, 2018 was $0.74 compared to $0.67 for the fourth quarter of 2017 and $0.71 for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6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Refer to the Consolidated Statements of Income for details.</w:t>
      </w:r>
    </w:p>
    <w:p>
      <w:pPr>
        <w:spacing w:after="0" w:line="163" w:lineRule="exact"/>
        <w:rPr>
          <w:sz w:val="20"/>
          <w:szCs w:val="20"/>
          <w:color w:val="auto"/>
        </w:rPr>
      </w:pPr>
    </w:p>
    <w:p>
      <w:pPr>
        <w:jc w:val="both"/>
        <w:ind w:firstLine="8"/>
        <w:spacing w:after="0" w:line="489" w:lineRule="auto"/>
        <w:tabs>
          <w:tab w:leader="none" w:pos="169" w:val="left"/>
        </w:tabs>
        <w:numPr>
          <w:ilvl w:val="0"/>
          <w:numId w:val="7"/>
        </w:numPr>
        <w:rPr>
          <w:rFonts w:ascii="Arial" w:cs="Arial" w:eastAsia="Arial" w:hAnsi="Arial"/>
          <w:sz w:val="19"/>
          <w:szCs w:val="19"/>
          <w:color w:val="auto"/>
          <w:vertAlign w:val="superscript"/>
        </w:rPr>
      </w:pPr>
      <w:r>
        <w:rPr>
          <w:rFonts w:ascii="Arial" w:cs="Arial" w:eastAsia="Arial" w:hAnsi="Arial"/>
          <w:sz w:val="11"/>
          <w:szCs w:val="11"/>
          <w:color w:val="auto"/>
        </w:rPr>
        <w:t>Impairment charge refers to goodwill and intangible assets impairment related to our Health Integrated acquisition which we recorded during the quarter and year ended December 31, 2018. The primary factors contributing to an impairment charge were i) revenues and profitability for the Health Integrated business in 2018 were significantly lower than our budget and ii) significant changes to the Company’s estimated future cash flows and long-term growth assumptions driven by loss of customer contracts, cost pressures and the Company’s most recent views of the long-term outlook for the Health Integrated business.</w:t>
      </w:r>
    </w:p>
    <w:p>
      <w:pPr>
        <w:sectPr>
          <w:pgSz w:w="11900" w:h="16838" w:orient="portrait"/>
          <w:cols w:equalWidth="0" w:num="1">
            <w:col w:w="11420"/>
          </w:cols>
          <w:pgMar w:left="240" w:top="102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Highlights: Full Year 2018</w:t>
      </w:r>
    </w:p>
    <w:p>
      <w:pPr>
        <w:spacing w:after="0" w:line="256" w:lineRule="exact"/>
        <w:rPr>
          <w:sz w:val="20"/>
          <w:szCs w:val="20"/>
          <w:color w:val="auto"/>
        </w:rPr>
      </w:pPr>
    </w:p>
    <w:p>
      <w:pPr>
        <w:ind w:left="660" w:hanging="328"/>
        <w:spacing w:after="0" w:line="32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for the year ended December 31, 2018 increased to $883.1 million compared to $762.3 million for the year ended December 31, 2017, an increase of 15.8% on a reported basis and 16.3% on a constant currency basis.</w:t>
      </w:r>
    </w:p>
    <w:p>
      <w:pPr>
        <w:spacing w:after="0" w:line="319"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Revenues</w:t>
            </w:r>
          </w:p>
        </w:tc>
        <w:tc>
          <w:tcPr>
            <w:tcW w:w="2940" w:type="dxa"/>
            <w:vAlign w:val="bottom"/>
            <w:gridSpan w:val="3"/>
          </w:tcPr>
          <w:p>
            <w:pPr>
              <w:ind w:left="1000"/>
              <w:spacing w:after="0"/>
              <w:rPr>
                <w:sz w:val="20"/>
                <w:szCs w:val="20"/>
                <w:color w:val="auto"/>
              </w:rPr>
            </w:pPr>
            <w:r>
              <w:rPr>
                <w:rFonts w:ascii="Arial" w:cs="Arial" w:eastAsia="Arial" w:hAnsi="Arial"/>
                <w:sz w:val="16"/>
                <w:szCs w:val="16"/>
                <w:b w:val="1"/>
                <w:bCs w:val="1"/>
                <w:color w:val="auto"/>
              </w:rPr>
              <w:t>Gross Margin</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Year ended</w:t>
            </w:r>
          </w:p>
        </w:tc>
        <w:tc>
          <w:tcPr>
            <w:tcW w:w="2940" w:type="dxa"/>
            <w:vAlign w:val="bottom"/>
            <w:gridSpan w:val="3"/>
          </w:tcPr>
          <w:p>
            <w:pPr>
              <w:ind w:left="1080"/>
              <w:spacing w:after="0"/>
              <w:rPr>
                <w:sz w:val="20"/>
                <w:szCs w:val="20"/>
                <w:color w:val="auto"/>
              </w:rPr>
            </w:pPr>
            <w:r>
              <w:rPr>
                <w:rFonts w:ascii="Arial" w:cs="Arial" w:eastAsia="Arial" w:hAnsi="Arial"/>
                <w:sz w:val="16"/>
                <w:szCs w:val="16"/>
                <w:b w:val="1"/>
                <w:bCs w:val="1"/>
                <w:color w:val="auto"/>
              </w:rPr>
              <w:t>Year ended</w:t>
            </w:r>
          </w:p>
        </w:tc>
      </w:tr>
      <w:tr>
        <w:trPr>
          <w:trHeight w:val="33"/>
        </w:trPr>
        <w:tc>
          <w:tcPr>
            <w:tcW w:w="40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 31, 2018</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Dec 31, 2017</w:t>
            </w:r>
          </w:p>
        </w:tc>
        <w:tc>
          <w:tcPr>
            <w:tcW w:w="120" w:type="dxa"/>
            <w:vAlign w:val="bottom"/>
          </w:tcPr>
          <w:p>
            <w:pPr>
              <w:spacing w:after="0"/>
              <w:rPr>
                <w:sz w:val="22"/>
                <w:szCs w:val="22"/>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Dec 31, 2018</w:t>
            </w:r>
          </w:p>
        </w:tc>
        <w:tc>
          <w:tcPr>
            <w:tcW w:w="120" w:type="dxa"/>
            <w:vAlign w:val="bottom"/>
          </w:tcPr>
          <w:p>
            <w:pPr>
              <w:spacing w:after="0"/>
              <w:rPr>
                <w:sz w:val="22"/>
                <w:szCs w:val="22"/>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9"/>
              </w:rPr>
              <w:t>Dec 31, 2017</w:t>
            </w:r>
            <w:r>
              <w:rPr>
                <w:rFonts w:ascii="Arial" w:cs="Arial" w:eastAsia="Arial" w:hAnsi="Arial"/>
                <w:sz w:val="21"/>
                <w:szCs w:val="21"/>
                <w:b w:val="1"/>
                <w:bCs w:val="1"/>
                <w:color w:val="auto"/>
                <w:w w:val="99"/>
                <w:vertAlign w:val="superscript"/>
              </w:rPr>
              <w:t>(1)(2)</w:t>
            </w:r>
          </w:p>
        </w:tc>
      </w:tr>
      <w:tr>
        <w:trPr>
          <w:trHeight w:val="231"/>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(dollars in millions)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32.1%</w:t>
            </w: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35.8%</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41.7%</w:t>
            </w: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40.6%</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31.8%</w:t>
            </w: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209.9</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34.8%</w:t>
            </w:r>
          </w:p>
        </w:tc>
      </w:tr>
      <w:tr>
        <w:trPr>
          <w:trHeight w:val="33"/>
        </w:trPr>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revenues,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b w:val="1"/>
                <w:bCs w:val="1"/>
                <w:color w:val="auto"/>
              </w:rPr>
              <w:t>35.0%</w:t>
            </w: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margin for the year ended December 31, 2018 was 5.6% compared to 9.5% for the year ended December 31, 2017. During the fourth quarter of 2018, we recorded an impairment charge</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of $20.1 million related to our Health Integrated acquisition, which reduced our operating income margin by 230 basis points. Adjusted operating income margin for the year ended December 31, 2018 was 13.5% compared to 14.5% for the year ended December 31, 2017.</w:t>
      </w:r>
    </w:p>
    <w:p>
      <w:pPr>
        <w:spacing w:after="0" w:line="216"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for the year ended December 31, 2018 was $1.62 compared to diluted earnings per share for the year ended December 31, 2017 of $1.39. During 2018, we recorded an impairment charge</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of $20.1 million ($17.0 million net of tax) related to our Health Integrated acquisition, which reduced our GAAP diluted EPS by $0.49 for the year ended December 31, 2018. During 2017, we recorded a one-time provisional income tax expense of $29.2 million related to the Tax Reform Act which reduced our GAAP diluted EPS by $0.83 for the year ended December 31, 2017. Adjusted diluted earnings per share for the year ended December 31, 2018 was $2.77 compared to $2.66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(1) (2)</w:t>
      </w:r>
    </w:p>
    <w:p>
      <w:pPr>
        <w:ind w:left="380"/>
        <w:spacing w:after="0"/>
        <w:rPr>
          <w:sz w:val="20"/>
          <w:szCs w:val="20"/>
          <w:color w:val="auto"/>
        </w:rPr>
      </w:pPr>
      <w:r>
        <w:rPr>
          <w:rFonts w:ascii="Arial" w:cs="Arial" w:eastAsia="Arial" w:hAnsi="Arial"/>
          <w:sz w:val="14"/>
          <w:szCs w:val="14"/>
          <w:color w:val="auto"/>
        </w:rPr>
        <w:t>Refer to the Consolidated Statements of Income for details.</w:t>
      </w:r>
    </w:p>
    <w:p>
      <w:pPr>
        <w:spacing w:after="0" w:line="313" w:lineRule="exact"/>
        <w:rPr>
          <w:sz w:val="20"/>
          <w:szCs w:val="20"/>
          <w:color w:val="auto"/>
        </w:rPr>
      </w:pPr>
    </w:p>
    <w:p>
      <w:pPr>
        <w:jc w:val="both"/>
        <w:ind w:firstLine="8"/>
        <w:spacing w:after="0" w:line="296" w:lineRule="auto"/>
        <w:tabs>
          <w:tab w:leader="none" w:pos="192" w:val="left"/>
        </w:tabs>
        <w:numPr>
          <w:ilvl w:val="0"/>
          <w:numId w:val="10"/>
        </w:numPr>
        <w:rPr>
          <w:rFonts w:ascii="Arial" w:cs="Arial" w:eastAsia="Arial" w:hAnsi="Arial"/>
          <w:sz w:val="22"/>
          <w:szCs w:val="22"/>
          <w:color w:val="auto"/>
          <w:vertAlign w:val="superscript"/>
        </w:rPr>
      </w:pPr>
      <w:r>
        <w:rPr>
          <w:rFonts w:ascii="Arial" w:cs="Arial" w:eastAsia="Arial" w:hAnsi="Arial"/>
          <w:sz w:val="13"/>
          <w:szCs w:val="13"/>
          <w:color w:val="auto"/>
        </w:rPr>
        <w:t>Impairment charge refers to goodwill and intangible assets impairment related to our Health Integrated acquisition which we recorded during the quarter and year ended December 31, 2018. The primary factors contributing to an impairment charge were i) revenues and profitability for the Health Integrated business in 2018 were significantly lower than our budget and ii) significant changes to the Company’s estimated future cash flows and long-term growth assumptions driven by loss of customer contracts, cost pressures and the Company’s most recent views of the long-term outlook for the Health Integrated business.</w:t>
      </w:r>
    </w:p>
    <w:p>
      <w:pPr>
        <w:sectPr>
          <w:pgSz w:w="11900" w:h="16838" w:orient="portrait"/>
          <w:cols w:equalWidth="0" w:num="1">
            <w:col w:w="11420"/>
          </w:cols>
          <w:pgMar w:left="240" w:top="79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Highlights: Fourth Quarter 2018</w:t>
      </w:r>
    </w:p>
    <w:p>
      <w:pPr>
        <w:spacing w:after="0" w:line="202" w:lineRule="exact"/>
        <w:rPr>
          <w:sz w:val="20"/>
          <w:szCs w:val="20"/>
          <w:color w:val="auto"/>
        </w:rPr>
      </w:pPr>
    </w:p>
    <w:p>
      <w:pPr>
        <w:ind w:left="340" w:right="20" w:hanging="264"/>
        <w:spacing w:after="0" w:line="32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Won 15 new clients in Q4 including five in our operations management businesses and 10 in Analytics. For the full year, we won 50 new clients, 19 in operations management and 31 in Analytics</w:t>
      </w:r>
    </w:p>
    <w:p>
      <w:pPr>
        <w:spacing w:after="0" w:line="116"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Recognized as a Leader in the Everest Group Healthcare Analytics Services PEAK Matrix™ Assessment 2019</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Recognized as a Leader in the Everest Group Life and Pensions (L&amp;P) Insurance BPO Services PEAK Matrix™ Assessment 2018</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Ranked as a top 10 service provider in the HFS Top 10 Travel, Hospitality, and Logistics Service Providers report</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Appointed Samuel Meckey in the role of Executive Vice President and member of the Executive Committee</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Appointed Ajay Ayyappan in the role of Senior Vice President, General Counsel, Corporate Secretary and member of the Executive Committee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Guidance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71.0, British Pound to U.S. Dollar exchange rate of 1.30,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52.0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of $975 million to $1 billion, representing an annual revenue growth rate of 11% to 14%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diluted earnings per share of $2.90 to $3.05.</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February 28, 2019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105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businesses enhance revenue growth and profitability. Our delivery model provides market-leading business outcomes using EXL’s proprietary Digital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29,000 professionals in locations throughout the United States, Europe, Asia (primarily India and Philippines), Latin America,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71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1"/>
                <w:szCs w:val="21"/>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(2)</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883,112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762,310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197,875</w:t>
            </w:r>
          </w:p>
        </w:tc>
        <w:tc>
          <w:tcPr>
            <w:tcW w:w="0" w:type="dxa"/>
            <w:vAlign w:val="bottom"/>
          </w:tcPr>
          <w:p>
            <w:pPr>
              <w:spacing w:after="0"/>
              <w:rPr>
                <w:sz w:val="1"/>
                <w:szCs w:val="1"/>
                <w:color w:val="auto"/>
              </w:rPr>
            </w:pPr>
          </w:p>
        </w:tc>
      </w:tr>
      <w:tr>
        <w:trPr>
          <w:trHeight w:val="270"/>
        </w:trPr>
        <w:tc>
          <w:tcPr>
            <w:tcW w:w="54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(1)(2)</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584,855</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495,142</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154,948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129,259</w:t>
            </w:r>
          </w:p>
        </w:tc>
        <w:tc>
          <w:tcPr>
            <w:tcW w:w="0" w:type="dxa"/>
            <w:vAlign w:val="bottom"/>
          </w:tcPr>
          <w:p>
            <w:pPr>
              <w:spacing w:after="0"/>
              <w:rPr>
                <w:sz w:val="1"/>
                <w:szCs w:val="1"/>
                <w:color w:val="auto"/>
              </w:rPr>
            </w:pPr>
          </w:p>
        </w:tc>
      </w:tr>
      <w:tr>
        <w:trPr>
          <w:trHeight w:val="264"/>
        </w:trPr>
        <w:tc>
          <w:tcPr>
            <w:tcW w:w="54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298,257</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267,168</w:t>
            </w:r>
          </w:p>
        </w:tc>
        <w:tc>
          <w:tcPr>
            <w:tcW w:w="2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79,955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116,202</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102,515</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30,592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27,508</w:t>
            </w:r>
          </w:p>
        </w:tc>
        <w:tc>
          <w:tcPr>
            <w:tcW w:w="0" w:type="dxa"/>
            <w:vAlign w:val="bottom"/>
          </w:tcPr>
          <w:p>
            <w:pPr>
              <w:spacing w:after="0"/>
              <w:rPr>
                <w:sz w:val="1"/>
                <w:szCs w:val="1"/>
                <w:color w:val="auto"/>
              </w:rPr>
            </w:pPr>
          </w:p>
        </w:tc>
      </w:tr>
      <w:tr>
        <w:trPr>
          <w:trHeight w:val="270"/>
        </w:trPr>
        <w:tc>
          <w:tcPr>
            <w:tcW w:w="5440" w:type="dxa"/>
            <w:vAlign w:val="bottom"/>
          </w:tcPr>
          <w:p>
            <w:pPr>
              <w:ind w:left="380"/>
              <w:spacing w:after="0" w:line="270" w:lineRule="exact"/>
              <w:rPr>
                <w:sz w:val="20"/>
                <w:szCs w:val="20"/>
                <w:color w:val="auto"/>
              </w:rPr>
            </w:pPr>
            <w:r>
              <w:rPr>
                <w:rFonts w:ascii="Arial" w:cs="Arial" w:eastAsia="Arial" w:hAnsi="Arial"/>
                <w:sz w:val="18"/>
                <w:szCs w:val="18"/>
                <w:color w:val="auto"/>
              </w:rPr>
              <w:t>Selling and marketing expenses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63,612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53,379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14,748</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48,566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20,056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248,436</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194,443</w:t>
            </w:r>
          </w:p>
        </w:tc>
        <w:tc>
          <w:tcPr>
            <w:tcW w:w="2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82,048</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52,316</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Income/(loss) from operations</w:t>
            </w: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49,821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72,725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income, net</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12,989</w:t>
            </w:r>
          </w:p>
        </w:tc>
        <w:tc>
          <w:tcPr>
            <w:tcW w:w="1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11,359</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60,370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85,034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19,589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28,944</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income/(loss) attributable to ExlService Holdings, Inc.</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56,726</w:t>
            </w:r>
          </w:p>
        </w:tc>
        <w:tc>
          <w:tcPr>
            <w:tcW w:w="1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48,888</w:t>
            </w:r>
          </w:p>
        </w:tc>
        <w:tc>
          <w:tcPr>
            <w:tcW w:w="2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4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Earnings/(loss) per share attributable to ExlService Holdings, Inc.</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34,451,008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33,897,916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34,388,025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3"/>
              </w:rPr>
              <w:t>34,086,711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35,030,984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35,110,210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34,921,388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3"/>
              </w:rPr>
              <w:t>34,086,711</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Exclusive of depreciation and amortization.</w:t>
      </w:r>
    </w:p>
    <w:p>
      <w:pPr>
        <w:spacing w:after="0" w:line="204"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Adjusted pursuant to adoption of ASU No. 2017-07, Improving the Presentation of Net Periodic Pension Cost and Net Periodic Post-retirement Benefit Cost.</w:t>
      </w:r>
    </w:p>
    <w:p>
      <w:pPr>
        <w:sectPr>
          <w:pgSz w:w="11900" w:h="16838" w:orient="portrait"/>
          <w:cols w:equalWidth="0" w:num="1">
            <w:col w:w="11420"/>
          </w:cols>
          <w:pgMar w:left="240" w:top="71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280"/>
          </w:cols>
          <w:pgMar w:left="320" w:top="58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 income tax,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assets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assets,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in equity affiliate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long-term borrowings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employee costs</w:t>
      </w:r>
    </w:p>
    <w:p>
      <w:pPr>
        <w:spacing w:after="0" w:line="109" w:lineRule="exact"/>
        <w:rPr>
          <w:sz w:val="20"/>
          <w:szCs w:val="20"/>
          <w:color w:val="auto"/>
        </w:rPr>
      </w:pPr>
    </w:p>
    <w:p>
      <w:pPr>
        <w:jc w:val="right"/>
        <w:ind w:right="3820"/>
        <w:spacing w:after="0"/>
        <w:rPr>
          <w:sz w:val="20"/>
          <w:szCs w:val="20"/>
          <w:color w:val="auto"/>
        </w:rPr>
      </w:pPr>
      <w:r>
        <w:rPr>
          <w:rFonts w:ascii="Arial" w:cs="Arial" w:eastAsia="Arial" w:hAnsi="Arial"/>
          <w:sz w:val="14"/>
          <w:szCs w:val="14"/>
          <w:color w:val="auto"/>
        </w:rPr>
        <w:t>Accrued expenses and other current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capital lease obligations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 term borrowings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lease obligations, less current portion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taxes payable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liabilities,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liabilities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December 31, 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9"/>
              </w:rPr>
              <w:t>December 31, 2017</w:t>
            </w:r>
          </w:p>
        </w:tc>
      </w:tr>
      <w:tr>
        <w:trPr>
          <w:trHeight w:val="79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95,881</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86,795</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184,489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178,479</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5,608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3,674</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164,752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135,705</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11,326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9,781</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8,801</w:t>
            </w:r>
          </w:p>
        </w:tc>
      </w:tr>
      <w:tr>
        <w:trPr>
          <w:trHeight w:val="276"/>
        </w:trPr>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28,240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29,582</w:t>
            </w:r>
          </w:p>
        </w:tc>
      </w:tr>
      <w:tr>
        <w:trPr>
          <w:trHeight w:val="250"/>
        </w:trPr>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499,935</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452,817</w:t>
            </w:r>
          </w:p>
        </w:tc>
      </w:tr>
      <w:tr>
        <w:trPr>
          <w:trHeight w:val="244"/>
        </w:trPr>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73,510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66,757</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3,808</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6,602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9,280</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95,495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48,958</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349,984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204,481</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31,015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36,369</w:t>
            </w:r>
          </w:p>
        </w:tc>
      </w:tr>
      <w:tr>
        <w:trPr>
          <w:trHeight w:val="276"/>
        </w:trPr>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3,000</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1,061,936</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825,470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78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5,653</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5,918</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21,423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10,318</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10,716</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54,893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55,664</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64,169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61,366</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r>
      <w:tr>
        <w:trPr>
          <w:trHeight w:val="250"/>
        </w:trPr>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155,095</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144,249</w:t>
            </w:r>
          </w:p>
        </w:tc>
      </w:tr>
      <w:tr>
        <w:trPr>
          <w:trHeight w:val="244"/>
        </w:trPr>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263,241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50,391</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331</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13,557</w:t>
            </w:r>
          </w:p>
        </w:tc>
      </w:tr>
      <w:tr>
        <w:trPr>
          <w:trHeight w:val="270"/>
        </w:trPr>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8,445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695</w:t>
            </w:r>
          </w:p>
        </w:tc>
      </w:tr>
      <w:tr>
        <w:trPr>
          <w:trHeight w:val="276"/>
        </w:trPr>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16,202</w:t>
            </w:r>
          </w:p>
        </w:tc>
      </w:tr>
      <w:tr>
        <w:trPr>
          <w:trHeight w:val="250"/>
        </w:trPr>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443,617</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225,425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-5685155</wp:posOffset>
            </wp:positionV>
            <wp:extent cx="71520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-5342255</wp:posOffset>
            </wp:positionV>
            <wp:extent cx="71520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-4999355</wp:posOffset>
            </wp:positionV>
            <wp:extent cx="71520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-4655820</wp:posOffset>
            </wp:positionV>
            <wp:extent cx="71520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-4312920</wp:posOffset>
            </wp:positionV>
            <wp:extent cx="71520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-3970020</wp:posOffset>
            </wp:positionV>
            <wp:extent cx="71520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-3627120</wp:posOffset>
            </wp:positionV>
            <wp:extent cx="71520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-3284220</wp:posOffset>
            </wp:positionV>
            <wp:extent cx="71520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-2940685</wp:posOffset>
            </wp:positionV>
            <wp:extent cx="71520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-2580640</wp:posOffset>
            </wp:positionV>
            <wp:extent cx="71520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-2237740</wp:posOffset>
            </wp:positionV>
            <wp:extent cx="71520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-1894840</wp:posOffset>
            </wp:positionV>
            <wp:extent cx="71520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-1551305</wp:posOffset>
            </wp:positionV>
            <wp:extent cx="71520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-1208405</wp:posOffset>
            </wp:positionV>
            <wp:extent cx="71520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-865505</wp:posOffset>
            </wp:positionV>
            <wp:extent cx="71520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-522605</wp:posOffset>
            </wp:positionV>
            <wp:extent cx="71520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-179705</wp:posOffset>
            </wp:positionV>
            <wp:extent cx="71520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6840" w:space="720"/>
            <w:col w:w="3720"/>
          </w:cols>
          <w:pgMar w:left="320" w:top="580" w:right="2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$0.001 par value; 15,000,000 shares authorized, none issued</w:t>
            </w:r>
          </w:p>
        </w:tc>
        <w:tc>
          <w:tcPr>
            <w:tcW w:w="6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5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380"/>
              <w:spacing w:after="0"/>
              <w:rPr>
                <w:sz w:val="20"/>
                <w:szCs w:val="20"/>
                <w:color w:val="auto"/>
              </w:rPr>
            </w:pPr>
            <w:r>
              <w:rPr>
                <w:rFonts w:ascii="Arial" w:cs="Arial" w:eastAsia="Arial" w:hAnsi="Arial"/>
                <w:sz w:val="14"/>
                <w:szCs w:val="14"/>
                <w:color w:val="auto"/>
              </w:rPr>
              <w:t>ExlService Holdings, Inc. Stockholders’ equity:</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5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Common stock, $0.001 par value; 100,000,000 shares authorized, 37,850,544 shares issued and 34,222,476 shares</w:t>
            </w:r>
          </w:p>
        </w:tc>
        <w:tc>
          <w:tcPr>
            <w:tcW w:w="6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92"/>
              </w:rPr>
              <w:t>outstanding as of December 31, 2018 and 36,790,751 shares issued and 33,888,733 shares outstanding as of December 31,</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2017</w:t>
            </w:r>
          </w:p>
        </w:tc>
        <w:tc>
          <w:tcPr>
            <w:tcW w:w="6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1"/>
        </w:trPr>
        <w:tc>
          <w:tcPr>
            <w:tcW w:w="756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60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364,179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322,246</w:t>
            </w:r>
          </w:p>
        </w:tc>
        <w:tc>
          <w:tcPr>
            <w:tcW w:w="0" w:type="dxa"/>
            <w:vAlign w:val="bottom"/>
          </w:tcPr>
          <w:p>
            <w:pPr>
              <w:spacing w:after="0"/>
              <w:rPr>
                <w:sz w:val="1"/>
                <w:szCs w:val="1"/>
                <w:color w:val="auto"/>
              </w:rPr>
            </w:pPr>
          </w:p>
        </w:tc>
      </w:tr>
      <w:tr>
        <w:trPr>
          <w:trHeight w:val="74"/>
        </w:trPr>
        <w:tc>
          <w:tcPr>
            <w:tcW w:w="7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6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484,244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427,064</w:t>
            </w:r>
          </w:p>
        </w:tc>
        <w:tc>
          <w:tcPr>
            <w:tcW w:w="0" w:type="dxa"/>
            <w:vAlign w:val="bottom"/>
          </w:tcPr>
          <w:p>
            <w:pPr>
              <w:spacing w:after="0"/>
              <w:rPr>
                <w:sz w:val="1"/>
                <w:szCs w:val="1"/>
                <w:color w:val="auto"/>
              </w:rPr>
            </w:pPr>
          </w:p>
        </w:tc>
      </w:tr>
      <w:tr>
        <w:trPr>
          <w:trHeight w:val="80"/>
        </w:trPr>
        <w:tc>
          <w:tcPr>
            <w:tcW w:w="7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380"/>
              <w:spacing w:after="0"/>
              <w:rPr>
                <w:sz w:val="20"/>
                <w:szCs w:val="20"/>
                <w:color w:val="auto"/>
              </w:rPr>
            </w:pPr>
            <w:r>
              <w:rPr>
                <w:rFonts w:ascii="Arial" w:cs="Arial" w:eastAsia="Arial" w:hAnsi="Arial"/>
                <w:sz w:val="14"/>
                <w:szCs w:val="14"/>
                <w:color w:val="auto"/>
              </w:rPr>
              <w:t>Accumulated other comprehensive loss</w:t>
            </w:r>
          </w:p>
        </w:tc>
        <w:tc>
          <w:tcPr>
            <w:tcW w:w="60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(83,467)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(45,710)</w:t>
            </w:r>
          </w:p>
        </w:tc>
        <w:tc>
          <w:tcPr>
            <w:tcW w:w="0" w:type="dxa"/>
            <w:vAlign w:val="bottom"/>
          </w:tcPr>
          <w:p>
            <w:pPr>
              <w:spacing w:after="0"/>
              <w:rPr>
                <w:sz w:val="1"/>
                <w:szCs w:val="1"/>
                <w:color w:val="auto"/>
              </w:rPr>
            </w:pPr>
          </w:p>
        </w:tc>
      </w:tr>
      <w:tr>
        <w:trPr>
          <w:trHeight w:val="74"/>
        </w:trPr>
        <w:tc>
          <w:tcPr>
            <w:tcW w:w="75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including shares held in treasury</w:t>
            </w:r>
          </w:p>
        </w:tc>
        <w:tc>
          <w:tcPr>
            <w:tcW w:w="6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764,994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703,637</w:t>
            </w:r>
          </w:p>
        </w:tc>
        <w:tc>
          <w:tcPr>
            <w:tcW w:w="0" w:type="dxa"/>
            <w:vAlign w:val="bottom"/>
          </w:tcPr>
          <w:p>
            <w:pPr>
              <w:spacing w:after="0"/>
              <w:rPr>
                <w:sz w:val="1"/>
                <w:szCs w:val="1"/>
                <w:color w:val="auto"/>
              </w:rPr>
            </w:pPr>
          </w:p>
        </w:tc>
      </w:tr>
      <w:tr>
        <w:trPr>
          <w:trHeight w:val="80"/>
        </w:trPr>
        <w:tc>
          <w:tcPr>
            <w:tcW w:w="756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560" w:type="dxa"/>
            <w:vAlign w:val="bottom"/>
          </w:tcPr>
          <w:p>
            <w:pPr>
              <w:ind w:left="20"/>
              <w:spacing w:after="0"/>
              <w:rPr>
                <w:sz w:val="20"/>
                <w:szCs w:val="20"/>
                <w:color w:val="auto"/>
              </w:rPr>
            </w:pPr>
            <w:r>
              <w:rPr>
                <w:rFonts w:ascii="Arial" w:cs="Arial" w:eastAsia="Arial" w:hAnsi="Arial"/>
                <w:sz w:val="14"/>
                <w:szCs w:val="14"/>
                <w:color w:val="auto"/>
                <w:w w:val="99"/>
              </w:rPr>
              <w:t>Less: 3,628,068 shares as of December 31, 2018 and 2,902,018 shares as of December 31, 2017, held in treasury, at cost</w:t>
            </w:r>
          </w:p>
        </w:tc>
        <w:tc>
          <w:tcPr>
            <w:tcW w:w="60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(146,925)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(103,816)</w:t>
            </w:r>
          </w:p>
        </w:tc>
        <w:tc>
          <w:tcPr>
            <w:tcW w:w="0" w:type="dxa"/>
            <w:vAlign w:val="bottom"/>
          </w:tcPr>
          <w:p>
            <w:pPr>
              <w:spacing w:after="0"/>
              <w:rPr>
                <w:sz w:val="1"/>
                <w:szCs w:val="1"/>
                <w:color w:val="auto"/>
              </w:rPr>
            </w:pPr>
          </w:p>
        </w:tc>
      </w:tr>
      <w:tr>
        <w:trPr>
          <w:trHeight w:val="74"/>
        </w:trPr>
        <w:tc>
          <w:tcPr>
            <w:tcW w:w="75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618,069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599,821</w:t>
            </w:r>
          </w:p>
        </w:tc>
        <w:tc>
          <w:tcPr>
            <w:tcW w:w="0" w:type="dxa"/>
            <w:vAlign w:val="bottom"/>
          </w:tcPr>
          <w:p>
            <w:pPr>
              <w:spacing w:after="0"/>
              <w:rPr>
                <w:sz w:val="1"/>
                <w:szCs w:val="1"/>
                <w:color w:val="auto"/>
              </w:rPr>
            </w:pPr>
          </w:p>
        </w:tc>
      </w:tr>
      <w:tr>
        <w:trPr>
          <w:trHeight w:val="264"/>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618,319</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600,045</w:t>
            </w:r>
          </w:p>
        </w:tc>
        <w:tc>
          <w:tcPr>
            <w:tcW w:w="0" w:type="dxa"/>
            <w:vAlign w:val="bottom"/>
          </w:tcPr>
          <w:p>
            <w:pPr>
              <w:spacing w:after="0"/>
              <w:rPr>
                <w:sz w:val="1"/>
                <w:szCs w:val="1"/>
                <w:color w:val="auto"/>
              </w:rPr>
            </w:pPr>
          </w:p>
        </w:tc>
      </w:tr>
      <w:tr>
        <w:trPr>
          <w:trHeight w:val="171"/>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1,061,936</w:t>
            </w:r>
          </w:p>
        </w:tc>
        <w:tc>
          <w:tcPr>
            <w:tcW w:w="100" w:type="dxa"/>
            <w:vAlign w:val="bottom"/>
          </w:tcPr>
          <w:p>
            <w:pPr>
              <w:spacing w:after="0"/>
              <w:rPr>
                <w:sz w:val="14"/>
                <w:szCs w:val="14"/>
                <w:color w:val="auto"/>
              </w:rPr>
            </w:pPr>
          </w:p>
        </w:tc>
        <w:tc>
          <w:tcPr>
            <w:tcW w:w="6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825,470</w:t>
            </w:r>
          </w:p>
        </w:tc>
        <w:tc>
          <w:tcPr>
            <w:tcW w:w="0" w:type="dxa"/>
            <w:vAlign w:val="bottom"/>
          </w:tcPr>
          <w:p>
            <w:pPr>
              <w:spacing w:after="0"/>
              <w:rPr>
                <w:sz w:val="1"/>
                <w:szCs w:val="1"/>
                <w:color w:val="auto"/>
              </w:rPr>
            </w:pPr>
          </w:p>
        </w:tc>
      </w:tr>
      <w:tr>
        <w:trPr>
          <w:trHeight w:val="65"/>
        </w:trPr>
        <w:tc>
          <w:tcPr>
            <w:tcW w:w="756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580" w:right="29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364"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62"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57"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57" w:lineRule="exact"/>
        <w:rPr>
          <w:rFonts w:ascii="Arial" w:cs="Arial" w:eastAsia="Arial" w:hAnsi="Arial"/>
          <w:sz w:val="18"/>
          <w:szCs w:val="18"/>
          <w:color w:val="auto"/>
        </w:rPr>
      </w:pPr>
    </w:p>
    <w:p>
      <w:pPr>
        <w:ind w:left="960" w:hanging="30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158"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7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non-cash interest expense on convertible senior notes and acquisition-related expenses. Acquisition-related expenses include, amortization of acquisition-related intangible assets, changes in the fair value of earn-out consideration liabilities, impairment charges of acquired intangible assets including goodwill and other acquisition-related costs and benefits such as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84"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49"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Effective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 To facilitate comparison, the previously reported periods presented have been adjusted with the effects of the exclusion of these other acquisition-related costs.</w:t>
      </w:r>
    </w:p>
    <w:p>
      <w:pPr>
        <w:sectPr>
          <w:pgSz w:w="11900" w:h="16838" w:orient="portrait"/>
          <w:cols w:equalWidth="0" w:num="1">
            <w:col w:w="11420"/>
          </w:cols>
          <w:pgMar w:left="240" w:top="702" w:right="239" w:bottom="1440" w:gutter="0" w:footer="0" w:header="0"/>
        </w:sectPr>
      </w:pPr>
    </w:p>
    <w:bookmarkStart w:id="12" w:name="page13"/>
    <w:bookmarkEnd w:id="12"/>
    <w:p>
      <w:pPr>
        <w:jc w:val="both"/>
        <w:ind w:firstLine="405"/>
        <w:spacing w:after="0" w:line="321" w:lineRule="auto"/>
        <w:rPr>
          <w:sz w:val="20"/>
          <w:szCs w:val="20"/>
          <w:color w:val="auto"/>
        </w:rPr>
      </w:pPr>
      <w:r>
        <w:rPr>
          <w:rFonts w:ascii="Arial" w:cs="Arial" w:eastAsia="Arial" w:hAnsi="Arial"/>
          <w:sz w:val="17"/>
          <w:szCs w:val="17"/>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64.36 during the quarter ended December 31, 2017 to 71.10 during the quarter ended December 31, 2018, representing a depreciation of 10.5%. The average exchange rate of the U.S. Dollar against the Philippine Peso increased from 50.60 during the quarter ended December 31, 2017 to 52.86 during the quarter ended December 31, 2018, representing a depreciation of 4.5%. The average exchange rate of the British Pound against the U.S. Dollar decreased from 1.34 during the quarter ended December 31, 2017 to 1.28 during the quarter ended December 31, 2018, representing a depreciation of 4.2%.</w:t>
      </w:r>
    </w:p>
    <w:p>
      <w:pPr>
        <w:spacing w:after="0" w:line="177"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year ended December 31, 2018 and December 31, 2017, the three months ended December 31, 2018 and 2017 and the three months ended September 30,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Year ended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101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4"/>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(a)</w:t>
            </w:r>
          </w:p>
        </w:tc>
        <w:tc>
          <w:tcPr>
            <w:tcW w:w="220" w:type="dxa"/>
            <w:vAlign w:val="bottom"/>
          </w:tcPr>
          <w:p>
            <w:pPr>
              <w:spacing w:after="0"/>
              <w:rPr>
                <w:sz w:val="22"/>
                <w:szCs w:val="22"/>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(a)</w:t>
            </w:r>
          </w:p>
        </w:tc>
        <w:tc>
          <w:tcPr>
            <w:tcW w:w="160" w:type="dxa"/>
            <w:vAlign w:val="bottom"/>
          </w:tcPr>
          <w:p>
            <w:pPr>
              <w:spacing w:after="0"/>
              <w:rPr>
                <w:sz w:val="22"/>
                <w:szCs w:val="22"/>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income/(loss) (GAAP)</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56,726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15,249</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Income tax expense/(benefit)</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36,146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5,739</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9"/>
              </w:rPr>
              <w:t>subtract: Interest expense, foreign exchange gain, net, loss from equity-</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98"/>
        </w:trPr>
        <w:tc>
          <w:tcPr>
            <w:tcW w:w="54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method investment and other income, net</w:t>
            </w: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4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Income/(loss) from operations (GAAP)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49,821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72,725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16,300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19,674</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5,344</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6,718</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Impairment of goodwill and intangibles (b)</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Provision for litigation settlement (c)</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Acquisition-related expenses (d)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7"/>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Adjusted operating income (Non-GAAP)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118,850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110,567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30,740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26,374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32,591</w:t>
            </w:r>
          </w:p>
        </w:tc>
        <w:tc>
          <w:tcPr>
            <w:tcW w:w="0" w:type="dxa"/>
            <w:vAlign w:val="bottom"/>
          </w:tcPr>
          <w:p>
            <w:pPr>
              <w:spacing w:after="0"/>
              <w:rPr>
                <w:sz w:val="1"/>
                <w:szCs w:val="1"/>
                <w:color w:val="auto"/>
              </w:rPr>
            </w:pPr>
          </w:p>
        </w:tc>
      </w:tr>
      <w:tr>
        <w:trPr>
          <w:trHeight w:val="73"/>
        </w:trPr>
        <w:tc>
          <w:tcPr>
            <w:tcW w:w="54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14.1%</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Depreciation</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28,189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7,381</w:t>
            </w:r>
          </w:p>
        </w:tc>
        <w:tc>
          <w:tcPr>
            <w:tcW w:w="0" w:type="dxa"/>
            <w:vAlign w:val="bottom"/>
          </w:tcPr>
          <w:p>
            <w:pPr>
              <w:spacing w:after="0"/>
              <w:rPr>
                <w:sz w:val="1"/>
                <w:szCs w:val="1"/>
                <w:color w:val="auto"/>
              </w:rPr>
            </w:pPr>
          </w:p>
        </w:tc>
      </w:tr>
      <w:tr>
        <w:trPr>
          <w:trHeight w:val="47"/>
        </w:trPr>
        <w:tc>
          <w:tcPr>
            <w:tcW w:w="54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147,039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135,141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39,972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30" w:lineRule="exact"/>
        <w:rPr>
          <w:sz w:val="20"/>
          <w:szCs w:val="20"/>
          <w:color w:val="auto"/>
        </w:rPr>
      </w:pPr>
    </w:p>
    <w:p>
      <w:pPr>
        <w:ind w:left="260" w:hanging="225"/>
        <w:spacing w:after="0"/>
        <w:tabs>
          <w:tab w:leader="none" w:pos="2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Adjusted pursuant to adoption of ASU No. 2017-07, Improving the Presentation of Net Periodic Pension Cost and Net Periodic Post-retirement Benefit Cost.</w:t>
      </w:r>
    </w:p>
    <w:p>
      <w:pPr>
        <w:spacing w:after="0" w:line="22" w:lineRule="exact"/>
        <w:rPr>
          <w:rFonts w:ascii="Arial" w:cs="Arial" w:eastAsia="Arial" w:hAnsi="Arial"/>
          <w:sz w:val="16"/>
          <w:szCs w:val="16"/>
          <w:i w:val="1"/>
          <w:iCs w:val="1"/>
          <w:color w:val="auto"/>
        </w:rPr>
      </w:pPr>
    </w:p>
    <w:p>
      <w:pPr>
        <w:ind w:left="260" w:hanging="225"/>
        <w:spacing w:after="0"/>
        <w:tabs>
          <w:tab w:leader="none" w:pos="2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charges on acquisition-related goodwill and intangibles.</w:t>
      </w:r>
    </w:p>
    <w:p>
      <w:pPr>
        <w:spacing w:after="0" w:line="18" w:lineRule="exact"/>
        <w:rPr>
          <w:rFonts w:ascii="Arial" w:cs="Arial" w:eastAsia="Arial" w:hAnsi="Arial"/>
          <w:sz w:val="16"/>
          <w:szCs w:val="16"/>
          <w:i w:val="1"/>
          <w:iCs w:val="1"/>
          <w:color w:val="auto"/>
        </w:rPr>
      </w:pPr>
    </w:p>
    <w:p>
      <w:pPr>
        <w:ind w:left="260" w:hanging="225"/>
        <w:spacing w:after="0"/>
        <w:tabs>
          <w:tab w:leader="none" w:pos="2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18" w:lineRule="exact"/>
        <w:rPr>
          <w:rFonts w:ascii="Arial" w:cs="Arial" w:eastAsia="Arial" w:hAnsi="Arial"/>
          <w:sz w:val="16"/>
          <w:szCs w:val="16"/>
          <w:i w:val="1"/>
          <w:iCs w:val="1"/>
          <w:color w:val="auto"/>
        </w:rPr>
      </w:pPr>
    </w:p>
    <w:p>
      <w:pPr>
        <w:ind w:left="260" w:hanging="225"/>
        <w:spacing w:after="0"/>
        <w:tabs>
          <w:tab w:leader="none" w:pos="2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 related expenses. See descriptions above for more information.</w:t>
      </w:r>
    </w:p>
    <w:p>
      <w:pPr>
        <w:sectPr>
          <w:pgSz w:w="11900" w:h="16838" w:orient="portrait"/>
          <w:cols w:equalWidth="0" w:num="1">
            <w:col w:w="11420"/>
          </w:cols>
          <w:pgMar w:left="240" w:top="61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80" w:type="dxa"/>
            <w:vAlign w:val="bottom"/>
            <w:gridSpan w:val="6"/>
          </w:tcPr>
          <w:p>
            <w:pPr>
              <w:jc w:val="right"/>
              <w:ind w:right="999"/>
              <w:spacing w:after="0"/>
              <w:rPr>
                <w:sz w:val="20"/>
                <w:szCs w:val="20"/>
                <w:color w:val="auto"/>
              </w:rPr>
            </w:pPr>
            <w:r>
              <w:rPr>
                <w:rFonts w:ascii="Arial" w:cs="Arial" w:eastAsia="Arial" w:hAnsi="Arial"/>
                <w:sz w:val="16"/>
                <w:szCs w:val="16"/>
                <w:b w:val="1"/>
                <w:bCs w:val="1"/>
                <w:color w:val="auto"/>
                <w:w w:val="94"/>
              </w:rPr>
              <w:t>Three months ended</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gridSpan w:val="4"/>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income/(loss) (GAAP)</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56,726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48,888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3,857</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(9,355)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15,249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5,344</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add: Amortization of acquisition-related intangibles</w:t>
            </w:r>
          </w:p>
        </w:tc>
        <w:tc>
          <w:tcPr>
            <w:tcW w:w="2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6,718</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Impairment of goodwill and intangibles (a)</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add: Provision for litigation settlement (b)</w:t>
            </w:r>
          </w:p>
        </w:tc>
        <w:tc>
          <w:tcPr>
            <w:tcW w:w="2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Acquisition-related expenses/(benefits) (c)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add: Non-cash interest expense related to convertible senior notes (d)</w:t>
            </w:r>
          </w:p>
        </w:tc>
        <w:tc>
          <w:tcPr>
            <w:tcW w:w="2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subtract: Effect of Tax Reform Act and other one-time tax expenses/(benefits)</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53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w:t>
            </w: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38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 (f)</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subtract: Tax impact on impairment of goodwill and intangibles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provision for litigation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subtract: Tax impact on acquisition-related expenses/(benefits)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subtract: Tax impact on non-cash interest expense related to convertible senior</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53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38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96,994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93,426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25,749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23,766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25,053</w:t>
            </w:r>
          </w:p>
        </w:tc>
        <w:tc>
          <w:tcPr>
            <w:tcW w:w="0" w:type="dxa"/>
            <w:vAlign w:val="bottom"/>
          </w:tcPr>
          <w:p>
            <w:pPr>
              <w:spacing w:after="0"/>
              <w:rPr>
                <w:sz w:val="1"/>
                <w:szCs w:val="1"/>
                <w:color w:val="auto"/>
              </w:rPr>
            </w:pPr>
          </w:p>
        </w:tc>
      </w:tr>
      <w:tr>
        <w:trPr>
          <w:trHeight w:val="73"/>
        </w:trPr>
        <w:tc>
          <w:tcPr>
            <w:tcW w:w="53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0.74</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0.71</w:t>
            </w:r>
          </w:p>
        </w:tc>
        <w:tc>
          <w:tcPr>
            <w:tcW w:w="0" w:type="dxa"/>
            <w:vAlign w:val="bottom"/>
          </w:tcPr>
          <w:p>
            <w:pPr>
              <w:spacing w:after="0"/>
              <w:rPr>
                <w:sz w:val="1"/>
                <w:szCs w:val="1"/>
                <w:color w:val="auto"/>
              </w:rPr>
            </w:pPr>
          </w:p>
        </w:tc>
      </w:tr>
      <w:tr>
        <w:trPr>
          <w:trHeight w:val="33"/>
        </w:trPr>
        <w:tc>
          <w:tcPr>
            <w:tcW w:w="5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40" w:hanging="227"/>
        <w:spacing w:after="0"/>
        <w:tabs>
          <w:tab w:leader="none" w:pos="6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charges on acquisition-related goodwill and intangibles.</w:t>
      </w:r>
    </w:p>
    <w:p>
      <w:pPr>
        <w:spacing w:after="0" w:line="221" w:lineRule="exact"/>
        <w:rPr>
          <w:rFonts w:ascii="Arial" w:cs="Arial" w:eastAsia="Arial" w:hAnsi="Arial"/>
          <w:sz w:val="16"/>
          <w:szCs w:val="16"/>
          <w:i w:val="1"/>
          <w:iCs w:val="1"/>
          <w:color w:val="auto"/>
        </w:rPr>
      </w:pPr>
    </w:p>
    <w:p>
      <w:pPr>
        <w:ind w:left="640" w:hanging="227"/>
        <w:spacing w:after="0"/>
        <w:tabs>
          <w:tab w:leader="none" w:pos="6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221" w:lineRule="exact"/>
        <w:rPr>
          <w:rFonts w:ascii="Arial" w:cs="Arial" w:eastAsia="Arial" w:hAnsi="Arial"/>
          <w:sz w:val="16"/>
          <w:szCs w:val="16"/>
          <w:i w:val="1"/>
          <w:iCs w:val="1"/>
          <w:color w:val="auto"/>
        </w:rPr>
      </w:pPr>
    </w:p>
    <w:p>
      <w:pPr>
        <w:ind w:left="640" w:hanging="227"/>
        <w:spacing w:after="0"/>
        <w:tabs>
          <w:tab w:leader="none" w:pos="6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 related expenses and one-time benefits. See descriptions above for more information.</w:t>
      </w:r>
    </w:p>
    <w:p>
      <w:pPr>
        <w:spacing w:after="0" w:line="113" w:lineRule="exact"/>
        <w:rPr>
          <w:rFonts w:ascii="Arial" w:cs="Arial" w:eastAsia="Arial" w:hAnsi="Arial"/>
          <w:sz w:val="16"/>
          <w:szCs w:val="16"/>
          <w:i w:val="1"/>
          <w:iCs w:val="1"/>
          <w:color w:val="auto"/>
        </w:rPr>
      </w:pPr>
    </w:p>
    <w:p>
      <w:pPr>
        <w:ind w:left="640" w:hanging="227"/>
        <w:spacing w:after="0"/>
        <w:tabs>
          <w:tab w:leader="none" w:pos="6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non-cash interest expense related to convertible senior notes.</w:t>
      </w:r>
    </w:p>
    <w:p>
      <w:pPr>
        <w:spacing w:after="0" w:line="113" w:lineRule="exact"/>
        <w:rPr>
          <w:rFonts w:ascii="Arial" w:cs="Arial" w:eastAsia="Arial" w:hAnsi="Arial"/>
          <w:sz w:val="16"/>
          <w:szCs w:val="16"/>
          <w:i w:val="1"/>
          <w:iCs w:val="1"/>
          <w:color w:val="auto"/>
        </w:rPr>
      </w:pPr>
    </w:p>
    <w:p>
      <w:pPr>
        <w:jc w:val="both"/>
        <w:ind w:left="660" w:hanging="247"/>
        <w:spacing w:after="0" w:line="274" w:lineRule="auto"/>
        <w:tabs>
          <w:tab w:leader="none" w:pos="654"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To exclude impact related to the Tax Reform Act and other one-time tax expenses/(benefits). In 2017, the Company recognized a one-time income tax expense of $29,185 during the three months and year ended December 31, 2017 in connection with the Tax Reform Act. In 2018, the Company finalized its transition tax expense under the Tax Reform Act and recorded an adjustment of $5,012 and $176 during the three months ended and year ended December 31, 2018 respectively. The Company also recorded a one-time tax benefit of $6,274 with respect to its unused 2018 foreign branch income tax credits under IRC regulations issued in December 2018 and certain deferred tax assets of $1,712 during the three months ended and year ended December 31, 2018.</w:t>
      </w:r>
    </w:p>
    <w:p>
      <w:pPr>
        <w:spacing w:after="0" w:line="176" w:lineRule="exact"/>
        <w:rPr>
          <w:rFonts w:ascii="Arial" w:cs="Arial" w:eastAsia="Arial" w:hAnsi="Arial"/>
          <w:sz w:val="15"/>
          <w:szCs w:val="15"/>
          <w:i w:val="1"/>
          <w:iCs w:val="1"/>
          <w:color w:val="auto"/>
        </w:rPr>
      </w:pPr>
    </w:p>
    <w:p>
      <w:pPr>
        <w:jc w:val="both"/>
        <w:ind w:left="660" w:hanging="247"/>
        <w:spacing w:after="0" w:line="261" w:lineRule="auto"/>
        <w:tabs>
          <w:tab w:leader="none" w:pos="611"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$7,227 and $9,796 for the year ended December 31, 2018 and 2017 respectively, $1,789 and $2,627 during the three months ended December 31, 2018 and 2017 respectively, and $288 during the three months ended September 30, 2018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2019-12-28T15:49:24Z</dcterms:created>
  <dcterms:modified xsi:type="dcterms:W3CDTF">2019-12-28T15:49:24Z</dcterms:modified>
</cp:coreProperties>
</file>