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Date of Report (Date of earliest event reported):  February 29, 2024</w:t>
      </w:r>
      <w:r>
        <w:rPr>
          <w:color w:val="000000"/>
        </w:rPr>
        <w:t xml:space="preserve"> </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left"/>
        <w:rPr/>
      </w:pPr>
      <w:r>
        <w:rPr/>
      </w:r>
    </w:p>
    <w:tbl>
      <w:tblPr>
        <w:tblW w:w="4134" w:type="dxa"/>
        <w:jc w:val="center"/>
        <w:tblInd w:w="0" w:type="dxa"/>
        <w:tblLayout w:type="fixed"/>
        <w:tblCellMar>
          <w:top w:w="28" w:type="dxa"/>
          <w:left w:w="28" w:type="dxa"/>
          <w:bottom w:w="28" w:type="dxa"/>
          <w:right w:w="28" w:type="dxa"/>
        </w:tblCellMar>
      </w:tblPr>
      <w:tblGrid>
        <w:gridCol w:w="124"/>
        <w:gridCol w:w="109"/>
        <w:gridCol w:w="109"/>
        <w:gridCol w:w="596"/>
        <w:gridCol w:w="596"/>
        <w:gridCol w:w="599"/>
        <w:gridCol w:w="371"/>
        <w:gridCol w:w="371"/>
        <w:gridCol w:w="374"/>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xml:space="preserve">320 Park Avenue,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Registrant’s telephone number, including area code:</w:t>
      </w:r>
      <w:r>
        <w:rPr>
          <w:color w:val="000000"/>
        </w:rPr>
        <w:t>  </w:t>
      </w:r>
      <w:r>
        <w:rPr>
          <w:rFonts w:ascii="Times New Roman;sans-serif" w:hAnsi="Times New Roman;sans-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address, if changed since last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ans-serif" w:hAnsi="Times New Roman;sans-serif"/>
          <w:b/>
          <w:color w:val="000000"/>
          <w:sz w:val="20"/>
        </w:rPr>
        <w:t xml:space="preserve">Item 2.02. </w:t>
      </w:r>
      <w:r>
        <w:rPr>
          <w:rFonts w:ascii="Times New Roman;sans-serif" w:hAnsi="Times New Roman;sans-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29, 2024, ExlService Holdings, Inc. (the “Company”) reported its results of operations for the fourth quarter and full year ended December 31, 2023. A copy of the press release issued by the Company concerning the foregoing is furnished herewith as Exhibit 99.1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provided in Item 2.02 of this Current Report on Form 8-K,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7"/>
        <w:gridCol w:w="538"/>
        <w:gridCol w:w="538"/>
        <w:gridCol w:w="538"/>
        <w:gridCol w:w="538"/>
        <w:gridCol w:w="538"/>
        <w:gridCol w:w="770"/>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q42023pressrelease.htm">
              <w:r>
                <w:rPr>
                  <w:rStyle w:val="InternetLink"/>
                  <w:rFonts w:ascii="Times New Roman;sans-serif" w:hAnsi="Times New Roman;sans-serif"/>
                  <w:b w:val="false"/>
                  <w:color w:val="0000FF"/>
                  <w:sz w:val="20"/>
                  <w:u w:val="single"/>
                </w:rPr>
                <w:t>Press Release, dated February 29, 2024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487" w:type="dxa"/>
        <w:jc w:val="left"/>
        <w:tblInd w:w="0" w:type="dxa"/>
        <w:tblLayout w:type="fixed"/>
        <w:tblCellMar>
          <w:top w:w="28" w:type="dxa"/>
          <w:left w:w="28" w:type="dxa"/>
          <w:bottom w:w="28" w:type="dxa"/>
          <w:right w:w="28" w:type="dxa"/>
        </w:tblCellMar>
      </w:tblPr>
      <w:tblGrid>
        <w:gridCol w:w="580"/>
        <w:gridCol w:w="511"/>
        <w:gridCol w:w="513"/>
        <w:gridCol w:w="463"/>
        <w:gridCol w:w="463"/>
        <w:gridCol w:w="463"/>
        <w:gridCol w:w="1024"/>
        <w:gridCol w:w="1024"/>
        <w:gridCol w:w="144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Ajay Ayyappan</w:t>
            </w:r>
          </w:p>
        </w:tc>
      </w:tr>
      <w:tr>
        <w:trPr/>
        <w:tc>
          <w:tcPr>
            <w:tcW w:w="160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Ayyappan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right"/>
        <w:rPr/>
      </w:pPr>
      <w:r>
        <w:rPr/>
      </w:r>
    </w:p>
    <w:p>
      <w:pPr>
        <w:pStyle w:val="TextBody"/>
        <w:bidi w:val="0"/>
        <w:spacing w:before="140" w:after="283"/>
        <w:jc w:val="left"/>
        <w:rPr/>
      </w:pPr>
      <w:r>
        <w:rPr/>
      </w:r>
    </w:p>
    <w:p>
      <w:pPr>
        <w:pStyle w:val="TextBody"/>
        <w:bidi w:val="0"/>
        <w:spacing w:lineRule="auto" w:line="276" w:before="0" w:after="0"/>
        <w:jc w:val="center"/>
        <w:rPr/>
      </w:pPr>
      <w:r>
        <w:rPr>
          <w:rFonts w:ascii="Times New Roman;sans-serif" w:hAnsi="Times New Roman;sans-serif"/>
          <w:b/>
          <w:color w:val="000000"/>
          <w:sz w:val="22"/>
        </w:rPr>
        <w:t>EXL REPORTS 2023 FOURTH QUARTER AND YEAR-END RESULTS</w:t>
      </w:r>
      <w:r>
        <w:rPr>
          <w:rFonts w:ascii="Times New Roman;sans-serif" w:hAnsi="Times New Roman;sans-serif"/>
          <w:b/>
          <w:color w:val="000000"/>
          <w:sz w:val="14"/>
        </w:rPr>
        <w:t>(1)</w:t>
      </w:r>
      <w:r>
        <w:rPr>
          <w:rFonts w:ascii="Times New Roman;sans-serif" w:hAnsi="Times New Roman;sans-serif"/>
          <w:b/>
          <w:color w:val="000000"/>
          <w:sz w:val="22"/>
        </w:rPr>
        <w:t>; ISSUES 2024 GUIDANCE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2"/>
        </w:rPr>
      </w:pPr>
      <w:r>
        <w:rPr>
          <w:rFonts w:ascii="Times New Roman;sans-serif" w:hAnsi="Times New Roman;sans-serif"/>
          <w:b/>
          <w:i/>
          <w:color w:val="000000"/>
          <w:sz w:val="22"/>
        </w:rPr>
        <w:t>2023 Fourth Quarter Revenue of $414.1 Million, up 10.5% year-over-year</w:t>
      </w:r>
    </w:p>
    <w:p>
      <w:pPr>
        <w:pStyle w:val="TextBody"/>
        <w:bidi w:val="0"/>
        <w:spacing w:lineRule="auto" w:line="288" w:before="0" w:after="0"/>
        <w:jc w:val="center"/>
        <w:rPr>
          <w:rFonts w:ascii="Times New Roman;sans-serif" w:hAnsi="Times New Roman;sans-serif"/>
          <w:b/>
          <w:i/>
          <w:color w:val="000000"/>
          <w:sz w:val="22"/>
        </w:rPr>
      </w:pPr>
      <w:r>
        <w:rPr>
          <w:rFonts w:ascii="Times New Roman;sans-serif" w:hAnsi="Times New Roman;sans-serif"/>
          <w:b/>
          <w:i/>
          <w:color w:val="000000"/>
          <w:sz w:val="22"/>
        </w:rPr>
        <w:t>Q4 Diluted EPS (GAAP) of $0.24, up 28.2% from $0.19 in Q4 of 2022</w:t>
      </w:r>
    </w:p>
    <w:p>
      <w:pPr>
        <w:pStyle w:val="TextBody"/>
        <w:bidi w:val="0"/>
        <w:spacing w:lineRule="auto" w:line="288" w:before="0" w:after="0"/>
        <w:jc w:val="center"/>
        <w:rPr/>
      </w:pPr>
      <w:r>
        <w:rPr>
          <w:rFonts w:ascii="Times New Roman;sans-serif" w:hAnsi="Times New Roman;sans-serif"/>
          <w:b/>
          <w:i/>
          <w:color w:val="000000"/>
          <w:sz w:val="22"/>
        </w:rPr>
        <w:t xml:space="preserve">Q4 Adjusted Diluted EPS (Non-GAAP) </w:t>
      </w:r>
      <w:r>
        <w:rPr>
          <w:rFonts w:ascii="Times New Roman;sans-serif" w:hAnsi="Times New Roman;sans-serif"/>
          <w:b/>
          <w:i/>
          <w:color w:val="000000"/>
          <w:sz w:val="14"/>
        </w:rPr>
        <w:t>(2)</w:t>
      </w:r>
      <w:r>
        <w:rPr>
          <w:color w:val="000000"/>
        </w:rPr>
        <w:t xml:space="preserve"> </w:t>
      </w:r>
      <w:r>
        <w:rPr>
          <w:rFonts w:ascii="Times New Roman;sans-serif" w:hAnsi="Times New Roman;sans-serif"/>
          <w:b/>
          <w:i/>
          <w:color w:val="000000"/>
          <w:sz w:val="22"/>
        </w:rPr>
        <w:t>of $0.35, up 11.3% from $0.31 in Q4 of 2022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2"/>
        </w:rPr>
      </w:pPr>
      <w:r>
        <w:rPr>
          <w:rFonts w:ascii="Times New Roman;sans-serif" w:hAnsi="Times New Roman;sans-serif"/>
          <w:b/>
          <w:i/>
          <w:color w:val="000000"/>
          <w:sz w:val="22"/>
        </w:rPr>
        <w:t>2023 Revenue of $1.63 Billion, up 15.5% year-over-year</w:t>
      </w:r>
    </w:p>
    <w:p>
      <w:pPr>
        <w:pStyle w:val="TextBody"/>
        <w:bidi w:val="0"/>
        <w:spacing w:lineRule="auto" w:line="288" w:before="0" w:after="0"/>
        <w:jc w:val="center"/>
        <w:rPr>
          <w:rFonts w:ascii="Times New Roman;sans-serif" w:hAnsi="Times New Roman;sans-serif"/>
          <w:b/>
          <w:i/>
          <w:color w:val="000000"/>
          <w:sz w:val="22"/>
        </w:rPr>
      </w:pPr>
      <w:r>
        <w:rPr>
          <w:rFonts w:ascii="Times New Roman;sans-serif" w:hAnsi="Times New Roman;sans-serif"/>
          <w:b/>
          <w:i/>
          <w:color w:val="000000"/>
          <w:sz w:val="22"/>
        </w:rPr>
        <w:t>2023 Diluted EPS (GAAP) of $1.10, up 29.9% from $0.85 in 2022</w:t>
      </w:r>
    </w:p>
    <w:p>
      <w:pPr>
        <w:pStyle w:val="TextBody"/>
        <w:bidi w:val="0"/>
        <w:spacing w:lineRule="auto" w:line="288" w:before="0" w:after="0"/>
        <w:jc w:val="center"/>
        <w:rPr/>
      </w:pPr>
      <w:r>
        <w:rPr>
          <w:rFonts w:ascii="Times New Roman;sans-serif" w:hAnsi="Times New Roman;sans-serif"/>
          <w:b/>
          <w:i/>
          <w:color w:val="000000"/>
          <w:sz w:val="22"/>
        </w:rPr>
        <w:t xml:space="preserve">2023 Adjusted Diluted EPS (Non-GAAP) </w:t>
      </w:r>
      <w:r>
        <w:rPr>
          <w:rFonts w:ascii="Times New Roman;sans-serif" w:hAnsi="Times New Roman;sans-serif"/>
          <w:b/>
          <w:i/>
          <w:color w:val="000000"/>
          <w:sz w:val="14"/>
        </w:rPr>
        <w:t>(2)</w:t>
      </w:r>
      <w:r>
        <w:rPr>
          <w:color w:val="000000"/>
        </w:rPr>
        <w:t xml:space="preserve"> </w:t>
      </w:r>
      <w:r>
        <w:rPr>
          <w:rFonts w:ascii="Times New Roman;sans-serif" w:hAnsi="Times New Roman;sans-serif"/>
          <w:b/>
          <w:i/>
          <w:color w:val="000000"/>
          <w:sz w:val="22"/>
        </w:rPr>
        <w:t>of $1.43, up 19.1% from $1.20 in 2022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 February 29, 2024 (GLOBE NEWSWIRE) - ExlService Holdings, Inc. (NASDAQ: EXLS), a leading data analytics and digital operations and solutions company, today announced its financial results for the quarter and full year ended December 31, 2023.</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Rohit Kapoor, Vice Chairman and Chief Executive Officer, said, “In 2023, we achieved revenue growth of 16% and EPS growth of 19%, despite a challenging macro-economic environment and lower demand across the IT services industry. During the year, we made a strategic pivot in our strategy – to be data- and AI-led in everything we do. This strategy, and the meaningful investments we have made in our data and AI capabilities, put EXL in a leading market position as clients continue to recognize our differentiated value proposition. With our proven strategy, unique data, analytics and AI capabilities and an exceptionally talented and dedicated team, we believe EXL is well positioned to continue to outperform the industry in 2024 and beyond.”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Maurizio Nicolelli, Chief Financial Officer, said, “We ended 2023 with strong momentum across our business, a healthy balance sheet and solid free cash flow. While we are mindful of the economic uncertainty heading into 2024, we remain confident we will deliver above industry average revenue and EPS growth in 2024. Our guidance for 2024 revenue is in the range of $1.78 billion to $1.82 billion, representing a 9% to 12% increase year-over-year on both a reported and constant currency basis. We expect adjusted diluted EPS to be in the range of $1.56 to $1.62, representing a 9% to 13% increase over 2023.</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ans-serif" w:hAnsi="Times New Roman;sans-serif"/>
          <w:b w:val="false"/>
          <w:color w:val="000000"/>
          <w:sz w:val="20"/>
        </w:rPr>
        <w:t>Our Board of Directors authorized a $500 million common stock repurchase program, effective March 1, 2024, for a two-year period, in line with our capital allocation strategy. This new authorization of $500 million represents confidence in our ability to continue our growth trajectory and generate significant free cash flow.”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i/>
          <w:color w:val="000000"/>
          <w:sz w:val="20"/>
        </w:rPr>
      </w:pPr>
      <w:r>
        <w:rPr>
          <w:rFonts w:ascii="Times New Roman;sans-serif" w:hAnsi="Times New Roman;sans-serif"/>
          <w:b/>
          <w:i/>
          <w:color w:val="000000"/>
          <w:sz w:val="20"/>
        </w:rPr>
        <w:t>__________________________________________________</w:t>
      </w:r>
    </w:p>
    <w:p>
      <w:pPr>
        <w:pStyle w:val="TextBody"/>
        <w:bidi w:val="0"/>
        <w:spacing w:before="0" w:after="0"/>
        <w:jc w:val="left"/>
        <w:rPr/>
      </w:pPr>
      <w:r>
        <w:rPr/>
      </w:r>
    </w:p>
    <w:p>
      <w:pPr>
        <w:pStyle w:val="TextBody"/>
        <w:bidi w:val="0"/>
        <w:spacing w:lineRule="auto" w:line="288" w:before="0" w:after="0"/>
        <w:ind w:left="0" w:right="0" w:hanging="360"/>
        <w:jc w:val="both"/>
        <w:rPr>
          <w:rFonts w:ascii="Calibri;sans-serif" w:hAnsi="Calibri;sans-serif"/>
          <w:b w:val="false"/>
          <w:color w:val="000000"/>
          <w:sz w:val="16"/>
        </w:rPr>
      </w:pPr>
      <w:r>
        <w:rPr>
          <w:rFonts w:ascii="Calibri;sans-serif" w:hAnsi="Calibri;sans-serif"/>
          <w:b w:val="false"/>
          <w:color w:val="000000"/>
          <w:sz w:val="16"/>
        </w:rPr>
        <w:t>1.Prior period information has been adjusted to reflect the 5-for-1 forward stock split of our common stock effected in August 2023. See Note 19 – Capital Structure to our Annual Report on Form 10-K for the year ended December 31, 2023 for further details.</w:t>
      </w:r>
    </w:p>
    <w:p>
      <w:pPr>
        <w:pStyle w:val="TextBody"/>
        <w:bidi w:val="0"/>
        <w:spacing w:lineRule="auto" w:line="288" w:before="0" w:after="0"/>
        <w:ind w:left="0" w:right="0" w:hanging="360"/>
        <w:jc w:val="both"/>
        <w:rPr>
          <w:rFonts w:ascii="Calibri;sans-serif" w:hAnsi="Calibri;sans-serif"/>
          <w:b w:val="false"/>
          <w:color w:val="000000"/>
          <w:sz w:val="16"/>
        </w:rPr>
      </w:pPr>
      <w:r>
        <w:rPr>
          <w:rFonts w:ascii="Calibri;sans-serif" w:hAnsi="Calibri;sans-serif"/>
          <w:b w:val="false"/>
          <w:color w:val="000000"/>
          <w:sz w:val="16"/>
        </w:rPr>
        <w:t>2.Reconciliations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Financial Highlights: Fourth Quarter 2023</w:t>
      </w:r>
    </w:p>
    <w:p>
      <w:pPr>
        <w:pStyle w:val="TextBody"/>
        <w:bidi w:val="0"/>
        <w:spacing w:before="120" w:after="283"/>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Revenue for the quarter ended December 31, 2023 increased to $414.1 million compared to $374.7 million for the fourth quarter of 2022, an increase of 10.5% on a reported basis and 10.1% on a constant currency basis. Revenue increased by 0.8% sequentially on reported basis and constant currency basis, from the third quarter of 2023.</w:t>
      </w:r>
    </w:p>
    <w:tbl>
      <w:tblPr>
        <w:tblW w:w="10205" w:type="dxa"/>
        <w:jc w:val="left"/>
        <w:tblInd w:w="0" w:type="dxa"/>
        <w:tblLayout w:type="fixed"/>
        <w:tblCellMar>
          <w:top w:w="28" w:type="dxa"/>
          <w:left w:w="28" w:type="dxa"/>
          <w:bottom w:w="28" w:type="dxa"/>
          <w:right w:w="28" w:type="dxa"/>
        </w:tblCellMar>
      </w:tblPr>
      <w:tblGrid>
        <w:gridCol w:w="435"/>
        <w:gridCol w:w="383"/>
        <w:gridCol w:w="384"/>
        <w:gridCol w:w="109"/>
        <w:gridCol w:w="109"/>
        <w:gridCol w:w="109"/>
        <w:gridCol w:w="249"/>
        <w:gridCol w:w="746"/>
        <w:gridCol w:w="128"/>
        <w:gridCol w:w="109"/>
        <w:gridCol w:w="109"/>
        <w:gridCol w:w="109"/>
        <w:gridCol w:w="249"/>
        <w:gridCol w:w="746"/>
        <w:gridCol w:w="128"/>
        <w:gridCol w:w="109"/>
        <w:gridCol w:w="109"/>
        <w:gridCol w:w="109"/>
        <w:gridCol w:w="253"/>
        <w:gridCol w:w="758"/>
        <w:gridCol w:w="130"/>
        <w:gridCol w:w="109"/>
        <w:gridCol w:w="109"/>
        <w:gridCol w:w="109"/>
        <w:gridCol w:w="323"/>
        <w:gridCol w:w="238"/>
        <w:gridCol w:w="621"/>
        <w:gridCol w:w="109"/>
        <w:gridCol w:w="109"/>
        <w:gridCol w:w="109"/>
        <w:gridCol w:w="323"/>
        <w:gridCol w:w="238"/>
        <w:gridCol w:w="621"/>
        <w:gridCol w:w="109"/>
        <w:gridCol w:w="109"/>
        <w:gridCol w:w="109"/>
        <w:gridCol w:w="318"/>
        <w:gridCol w:w="240"/>
        <w:gridCol w:w="732"/>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Margin</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411.0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w:t>
            </w:r>
            <w:r>
              <w:rPr>
                <w:color w:val="000000"/>
              </w:rPr>
              <w:t>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w:t>
            </w:r>
            <w:r>
              <w:rPr>
                <w:color w:val="000000"/>
              </w:rPr>
              <w:t>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37.7</w:t>
            </w: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Operating income margin for the quarter ended December 31, 2023 was 13.1%, compared to 13.6% for the fourth quarter of 2022 and 14.7% for the third quarter of 2023. Adjusted operating income margin for the quarter ended December 31, 2023 was 17.8%, compared to 18.0% for the fourth quarter of 2022 and 20.0% for the third quarter of 2023.</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Diluted earnings per share for the quarter ended December 31, 2023 was $0.24, compared to $0.19 for the fourth quarter of 2022 and $0.26 for the third quarter of 2023. Adjusted diluted earnings per share for the quarter ended December 31, 2023 was $0.35, compared to $0.31 for the fourth quarter of 2022 and $0.37 for the third quarter of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 Full Year 2023</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Revenue for the year ended December 31, 2023 increased to $1.63 billion compared to $1.41 billion for the year ended December 31, 2022, an increase of 15.5% on a reported basis and 15.6% on a constant currency basis.</w:t>
      </w:r>
    </w:p>
    <w:tbl>
      <w:tblPr>
        <w:tblW w:w="9288"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296"/>
        <w:gridCol w:w="1096"/>
        <w:gridCol w:w="153"/>
        <w:gridCol w:w="109"/>
        <w:gridCol w:w="109"/>
        <w:gridCol w:w="109"/>
        <w:gridCol w:w="296"/>
        <w:gridCol w:w="1096"/>
        <w:gridCol w:w="153"/>
        <w:gridCol w:w="109"/>
        <w:gridCol w:w="109"/>
        <w:gridCol w:w="109"/>
        <w:gridCol w:w="323"/>
        <w:gridCol w:w="323"/>
        <w:gridCol w:w="899"/>
        <w:gridCol w:w="109"/>
        <w:gridCol w:w="109"/>
        <w:gridCol w:w="109"/>
        <w:gridCol w:w="307"/>
        <w:gridCol w:w="307"/>
        <w:gridCol w:w="97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Margin</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9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1,630.7</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1,412.0</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w:t>
            </w:r>
            <w:r>
              <w:rPr>
                <w:color w:val="000000"/>
              </w:rPr>
              <w:t> </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240" w:after="283"/>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Operating income margin for the year ended December 31, 2023 was 14.6%, compared to 13.6% for the year ended December 31, 2022. Adjusted operating income margin for the year ended December 31, 2023 was 19.3%, compared to 18.3% for the year ended December 31, 2022.</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Diluted earnings per share for the year ended December 31, 2023 was $1.10, compared to $0.85 for the year ended December 31, 2022. Adjusted diluted earnings per share for the year ended December 31, 2023 was $1.43, compared to $1.20 for the year ended December 31, 2022.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Business Highlights: Fourth Quarter 2023</w:t>
      </w:r>
    </w:p>
    <w:p>
      <w:pPr>
        <w:pStyle w:val="TextBody"/>
        <w:bidi w:val="0"/>
        <w:spacing w:before="0" w:after="0"/>
        <w:jc w:val="left"/>
        <w:rPr/>
      </w:pPr>
      <w:r>
        <w:rPr/>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0"/>
        </w:rPr>
        <w:t>Won 17 new clients in the fourth quarter of 2023, with 9 clients in the digital operations and solutions business and 8 clients in analytics. For the year, we won 63 new clients, with 35 of those clients in digital operations and solutions business and 28 in analytics.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0"/>
        </w:rPr>
        <w:t>Formed a new collaboration with AWS for developing and delivering generative AI solutions through a cloud-native AI workbench, including the use of Amazon Bedrock for large language models.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0"/>
        </w:rPr>
        <w:t>Established a new collaboration with Microsoft to co-develop and accelerate generative AI solutions for businesses to help clients drive growth, personalize customer experiences, unlock valuable insights and develop new offerings.</w:t>
      </w:r>
    </w:p>
    <w:p>
      <w:pPr>
        <w:pStyle w:val="TextBody"/>
        <w:bidi w:val="0"/>
        <w:spacing w:lineRule="auto" w:line="420" w:before="0" w:after="0"/>
        <w:ind w:left="0" w:right="0" w:hanging="360"/>
        <w:jc w:val="both"/>
        <w:rPr/>
      </w:pPr>
      <w:r>
        <w:rPr>
          <w:color w:val="000000"/>
        </w:rPr>
        <w:t>•</w:t>
      </w:r>
      <w:r>
        <w:rPr>
          <w:rFonts w:ascii="Times New Roman;sans-serif" w:hAnsi="Times New Roman;sans-serif"/>
          <w:b w:val="false"/>
          <w:color w:val="000000"/>
          <w:sz w:val="20"/>
        </w:rPr>
        <w:t>Named in Newsweek’s 2024 America’s Most Responsible Companies list for fourth consecutive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384"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2024 Guidance</w:t>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visibility, and a U.S. dollar to Indian rupee exchange rate of 83.0, U.K. pound sterling to U.S. dollar exchange rate of 1.27, U.S. dollar to the Philippine peso exchange rate of 56.0 and all other currencies at current exchange rates, we are providing the following guidance for the full year 2024:</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Revenue of $1.78 billion to $1.82 billion, representing an increase of 9% to 12% on a reported basis, and constant currency basis, from 2023; and</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ans-serif" w:hAnsi="Times New Roman;sans-serif"/>
          <w:b w:val="false"/>
          <w:color w:val="000000"/>
          <w:sz w:val="20"/>
        </w:rPr>
        <w:t>Adjusted diluted earnings per share of $1.56 to $1.62, representing an increase of 9% to 13% from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35"/>
        <w:jc w:val="left"/>
        <w:rPr/>
      </w:pPr>
      <w:r>
        <w:rPr/>
      </w:r>
    </w:p>
    <w:p>
      <w:pPr>
        <w:pStyle w:val="TextBody"/>
        <w:bidi w:val="0"/>
        <w:spacing w:lineRule="auto" w:line="345"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ans-serif" w:hAnsi="Times New Roman;sans-serif"/>
          <w:b w:val="false"/>
          <w:color w:val="000000"/>
          <w:sz w:val="20"/>
        </w:rPr>
        <w:t xml:space="preserve">ExlService Holdings, Inc. will host a conference call on Thursday, February 29, 2024, at 10:00 A.M. ET to discuss the Company’s fourth quarter and year-end operating and financial results. The conference call will be available live via the internet by accessing the investor relations section of EXL’s website at </w:t>
      </w:r>
      <w:r>
        <w:rPr>
          <w:rFonts w:ascii="Times New Roman;sans-serif" w:hAnsi="Times New Roman;sans-serif"/>
          <w:b w:val="false"/>
          <w:color w:val="0000FF"/>
          <w:sz w:val="20"/>
          <w:u w:val="single"/>
        </w:rPr>
        <w:t>ir.exlservice.com</w:t>
      </w:r>
      <w:r>
        <w:rPr>
          <w:rFonts w:ascii="Times New Roman;sans-serif" w:hAnsi="Times New Roman;sans-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ans-serif" w:hAnsi="Times New Roman;sans-serif"/>
          <w:b w:val="false"/>
          <w:color w:val="000000"/>
          <w:sz w:val="20"/>
        </w:rPr>
        <w:t>Please note that there is a new system to access the live call-in order to ask questions. To join the live call, please register</w:t>
      </w:r>
      <w:r>
        <w:rPr>
          <w:color w:val="0000FF"/>
        </w:rPr>
        <w:t xml:space="preserve"> </w:t>
      </w:r>
      <w:r>
        <w:rPr>
          <w:rFonts w:ascii="Times New Roman;sans-serif" w:hAnsi="Times New Roman;sans-serif"/>
          <w:b w:val="false"/>
          <w:color w:val="0000FF"/>
          <w:sz w:val="20"/>
          <w:u w:val="single"/>
        </w:rPr>
        <w:t>here</w:t>
      </w:r>
      <w:r>
        <w:rPr>
          <w:rFonts w:ascii="Times New Roman;sans-serif" w:hAnsi="Times New Roman;sans-serif"/>
          <w:b w:val="false"/>
          <w:color w:val="000000"/>
          <w:sz w:val="20"/>
        </w:rPr>
        <w:t xml:space="preserve">. A dial-in and unique PIN will be provided to join the call. For those who cannot access the live broadcast, a replay will be available on the EXL website </w:t>
      </w:r>
      <w:r>
        <w:rPr>
          <w:rFonts w:ascii="Times New Roman;sans-serif" w:hAnsi="Times New Roman;sans-serif"/>
          <w:b w:val="false"/>
          <w:color w:val="0000FF"/>
          <w:sz w:val="20"/>
          <w:u w:val="single"/>
        </w:rPr>
        <w:t>ir.exlservice.com</w:t>
      </w:r>
      <w:r>
        <w:rPr>
          <w:color w:val="000000"/>
        </w:rPr>
        <w:t xml:space="preserve"> </w:t>
      </w:r>
      <w:r>
        <w:rPr>
          <w:rFonts w:ascii="Times New Roman;sans-serif" w:hAnsi="Times New Roman;sans-serif"/>
          <w:b w:val="false"/>
          <w:color w:val="000000"/>
          <w:sz w:val="20"/>
        </w:rPr>
        <w:t>for a period of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About ExlService Holdings, Inc.</w:t>
      </w:r>
    </w:p>
    <w:p>
      <w:pPr>
        <w:pStyle w:val="TextBody"/>
        <w:bidi w:val="0"/>
        <w:spacing w:lineRule="auto" w:line="384" w:before="120" w:after="283"/>
        <w:jc w:val="both"/>
        <w:rPr/>
      </w:pPr>
      <w:r>
        <w:rPr>
          <w:rFonts w:ascii="Times New Roman;sans-serif" w:hAnsi="Times New Roman;sans-serif"/>
          <w:b w:val="false"/>
          <w:color w:val="000000"/>
          <w:sz w:val="20"/>
        </w:rPr>
        <w:t xml:space="preserve">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54,000 employees spanning six continents. For more information, visit </w:t>
      </w:r>
      <w:r>
        <w:rPr>
          <w:rFonts w:ascii="Times New Roman;sans-serif" w:hAnsi="Times New Roman;sans-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ans-serif" w:hAnsi="Times New Roman;sans-serif"/>
          <w:b/>
          <w:color w:val="000000"/>
          <w:sz w:val="20"/>
        </w:rPr>
        <w:t>Cautionary Statement Regarding Forward-Looking Statements</w:t>
      </w:r>
      <w:r>
        <w:rPr>
          <w:color w:val="000000"/>
        </w:rPr>
        <w:t xml:space="preserve"> </w:t>
      </w:r>
      <w:r>
        <w:rPr>
          <w:rFonts w:ascii="Times New Roman;sans-serif" w:hAnsi="Times New Roman;sans-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724"/>
        <w:gridCol w:w="1149"/>
        <w:gridCol w:w="1123"/>
        <w:gridCol w:w="211"/>
        <w:gridCol w:w="976"/>
        <w:gridCol w:w="109"/>
        <w:gridCol w:w="109"/>
        <w:gridCol w:w="109"/>
        <w:gridCol w:w="109"/>
        <w:gridCol w:w="211"/>
        <w:gridCol w:w="976"/>
        <w:gridCol w:w="109"/>
        <w:gridCol w:w="109"/>
        <w:gridCol w:w="109"/>
        <w:gridCol w:w="109"/>
        <w:gridCol w:w="241"/>
        <w:gridCol w:w="945"/>
        <w:gridCol w:w="109"/>
        <w:gridCol w:w="109"/>
        <w:gridCol w:w="109"/>
        <w:gridCol w:w="109"/>
        <w:gridCol w:w="241"/>
        <w:gridCol w:w="945"/>
        <w:gridCol w:w="155"/>
      </w:tblGrid>
      <w:tr>
        <w:trPr/>
        <w:tc>
          <w:tcPr>
            <w:tcW w:w="172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Gross profit</w:t>
            </w:r>
            <w:r>
              <w:rPr>
                <w:rFonts w:ascii="Times New Roman;sans-serif" w:hAnsi="Times New Roman;sans-serif"/>
                <w:b/>
                <w:color w:val="000000"/>
                <w:sz w:val="13"/>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607,766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137,293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50,995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190,099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44,571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31,780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from equity-method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184,558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142,968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31,849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Earnings per share attributable to ExlService Holdings, Inc. stockholders </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Weighted-average number of shares used in computing earnings per share attributable to ExlService Holdings, Inc. stockholders </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166,651,585 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166,206,040 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168,161,371 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169,177,485 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270"/>
        <w:jc w:val="left"/>
        <w:rPr/>
      </w:pPr>
      <w:r>
        <w:rPr/>
      </w:r>
    </w:p>
    <w:p>
      <w:pPr>
        <w:pStyle w:val="TextBody"/>
        <w:bidi w:val="0"/>
        <w:spacing w:lineRule="auto" w:line="288" w:before="20" w:after="120"/>
        <w:ind w:left="0" w:right="0" w:firstLine="270"/>
        <w:jc w:val="left"/>
        <w:rPr/>
      </w:pPr>
      <w:r>
        <w:rPr>
          <w:rFonts w:ascii="Times New Roman;sans-serif" w:hAnsi="Times New Roman;sans-serif"/>
          <w:b w:val="false"/>
          <w:color w:val="000000"/>
          <w:sz w:val="12"/>
        </w:rPr>
        <w:t>(</w:t>
      </w:r>
      <w:r>
        <w:rPr>
          <w:rFonts w:ascii="Times New Roman;sans-serif" w:hAnsi="Times New Roman;sans-serif"/>
          <w:b w:val="false"/>
          <w:i/>
          <w:color w:val="000000"/>
          <w:sz w:val="12"/>
        </w:rPr>
        <w:t xml:space="preserve">1) </w:t>
      </w:r>
      <w:r>
        <w:rPr>
          <w:rFonts w:ascii="Times New Roman;sans-serif" w:hAnsi="Times New Roman;sans-serif"/>
          <w:b w:val="false"/>
          <w:i/>
          <w:color w:val="000000"/>
          <w:sz w:val="18"/>
        </w:rPr>
        <w:t>Exclusive of depreciation and amortization expense.</w:t>
      </w:r>
    </w:p>
    <w:p>
      <w:pPr>
        <w:pStyle w:val="TextBody"/>
        <w:bidi w:val="0"/>
        <w:spacing w:lineRule="auto" w:line="288" w:before="20" w:after="120"/>
        <w:ind w:left="0" w:right="0" w:firstLine="270"/>
        <w:jc w:val="left"/>
        <w:rPr/>
      </w:pPr>
      <w:r>
        <w:rPr>
          <w:rFonts w:ascii="Times New Roman;sans-serif" w:hAnsi="Times New Roman;sans-serif"/>
          <w:b w:val="false"/>
          <w:i/>
          <w:color w:val="000000"/>
          <w:sz w:val="12"/>
        </w:rPr>
        <w:t>(2)</w:t>
      </w:r>
      <w:r>
        <w:rPr>
          <w:color w:val="000000"/>
        </w:rPr>
        <w:t xml:space="preserve"> </w:t>
      </w:r>
      <w:r>
        <w:rPr>
          <w:rFonts w:ascii="Times New Roman;sans-serif" w:hAnsi="Times New Roman;sans-serif"/>
          <w:b w:val="false"/>
          <w:i/>
          <w:color w:val="000000"/>
          <w:sz w:val="18"/>
        </w:rPr>
        <w:t>Prior period information has been adjusted to reflect the 5-for-1 forward stock split of the Company’s common stock effected in August 2023.</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32"/>
        <w:gridCol w:w="2036"/>
        <w:gridCol w:w="2062"/>
        <w:gridCol w:w="109"/>
        <w:gridCol w:w="109"/>
        <w:gridCol w:w="109"/>
        <w:gridCol w:w="223"/>
        <w:gridCol w:w="1048"/>
        <w:gridCol w:w="115"/>
        <w:gridCol w:w="109"/>
        <w:gridCol w:w="109"/>
        <w:gridCol w:w="109"/>
        <w:gridCol w:w="222"/>
        <w:gridCol w:w="1046"/>
        <w:gridCol w:w="167"/>
      </w:tblGrid>
      <w:tr>
        <w:trPr/>
        <w:tc>
          <w:tcPr>
            <w:tcW w:w="2632"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679,673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612,794</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1,346,119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326,403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277,946</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552,535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587,940</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ExlService Holdings,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Common stock, $0.001 par value; 400,000,000 shares authorized, 203,410,038 shares issued and 165,277,880 shares outstanding as of December 31, 2023 and 199,939,880 shares issued and 166,172,220 shares outstanding as of December 31, 2022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Additional paid-in capital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including shares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1,464,854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1,200,110</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38,132,158 shares as of December 31, 2023 and 33,767,660 shares as of December 31, 2022, held in treasury, at cost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(441,931)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889,437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758,179</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1,346,119</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270"/>
        <w:jc w:val="left"/>
        <w:rPr/>
      </w:pPr>
      <w:r>
        <w:rPr>
          <w:rFonts w:ascii="Times New Roman;sans-serif" w:hAnsi="Times New Roman;sans-serif"/>
          <w:b w:val="false"/>
          <w:i/>
          <w:color w:val="000000"/>
          <w:sz w:val="12"/>
        </w:rPr>
        <w:t>(1)</w:t>
      </w:r>
      <w:r>
        <w:rPr>
          <w:color w:val="000000"/>
        </w:rPr>
        <w:t xml:space="preserve"> </w:t>
      </w:r>
      <w:r>
        <w:rPr>
          <w:rFonts w:ascii="Times New Roman;sans-serif" w:hAnsi="Times New Roman;sans-serif"/>
          <w:b w:val="false"/>
          <w:i/>
          <w:color w:val="000000"/>
          <w:sz w:val="18"/>
        </w:rPr>
        <w:t>Prior period information has been adjusted to reflect the 5-for-1 forward stock split of the Company’s common stock effected in August 2023.</w:t>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44" w:after="283"/>
        <w:jc w:val="center"/>
        <w:rPr>
          <w:rFonts w:ascii="Times New Roman;sans-serif" w:hAnsi="Times New Roman;sans-serif"/>
          <w:b/>
          <w:color w:val="000000"/>
          <w:sz w:val="20"/>
        </w:rPr>
      </w:pPr>
      <w:r>
        <w:rPr>
          <w:rFonts w:ascii="Times New Roman;sans-serif" w:hAnsi="Times New Roman;sans-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(iv)Revenue growth on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 non-GAAP financial measures exclude, where applicable, stock-based compensation expense, amortization of acquisition-related intangible assets, provision for litigation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spacing w:lineRule="auto" w:line="345"/>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EXL’s primary exchange rate exposure is with the Indian rupee, the U.K. pound sterling and the Philippine peso. The average exchange rate of the U.S. dollar against the Indian rupee increased from 82.31 during the quarter ended December 31, 2022 to 83.28 during the quarter ended December 31, 2023, representing a depreciation of 1.2% against the U.S. dollar. The average exchange rate of the U.S. dollar against the Philippine peso decreased from 56.76 during the quarter ended December 31, 2022 to 55.86 during the quarter ended December 31, 2023, representing an appreciation of 1.6% against the U.S. dollar. The average exchange rate of the U.K. pound sterling against the U.S. dollar increased from 1.19 during the quarter ended December 31, 2022 to 1.25 during the quarter ended December 31, 2023, representing an appreciation of 5.4% against the U.S. dollar.</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reconciliation of these non-GAAP financial measures for the year ended December 31, 2023 and 2022, the three months ended December 31, 2023 and 2022 and the three months ended September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Operating Income and Adjusted EBITDA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360"/>
        <w:gridCol w:w="712"/>
        <w:gridCol w:w="692"/>
        <w:gridCol w:w="109"/>
        <w:gridCol w:w="109"/>
        <w:gridCol w:w="109"/>
        <w:gridCol w:w="196"/>
        <w:gridCol w:w="751"/>
        <w:gridCol w:w="256"/>
        <w:gridCol w:w="109"/>
        <w:gridCol w:w="109"/>
        <w:gridCol w:w="109"/>
        <w:gridCol w:w="196"/>
        <w:gridCol w:w="751"/>
        <w:gridCol w:w="256"/>
        <w:gridCol w:w="109"/>
        <w:gridCol w:w="109"/>
        <w:gridCol w:w="109"/>
        <w:gridCol w:w="196"/>
        <w:gridCol w:w="661"/>
        <w:gridCol w:w="256"/>
        <w:gridCol w:w="109"/>
        <w:gridCol w:w="109"/>
        <w:gridCol w:w="109"/>
        <w:gridCol w:w="196"/>
        <w:gridCol w:w="661"/>
        <w:gridCol w:w="256"/>
        <w:gridCol w:w="109"/>
        <w:gridCol w:w="109"/>
        <w:gridCol w:w="109"/>
        <w:gridCol w:w="198"/>
        <w:gridCol w:w="669"/>
        <w:gridCol w:w="307"/>
      </w:tblGrid>
      <w:tr>
        <w:trPr/>
        <w:tc>
          <w:tcPr>
            <w:tcW w:w="136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184,558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142,968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40,283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31,849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43,876</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Foreign exchange gain, net, interest expense, gain/(loss) from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238,755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192,162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54,266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50,995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60,230</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Allowance/(reversal) for expected credit losses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Other expenses/(benefits)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operating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314,690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258,597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73,517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67,285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82,154</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20.0 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 Depreciation on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349,124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297,466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82,647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76,972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90,580</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22.0 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(a) To exclude the effects of material allowance/(reversal) for expected credit losses on accounts receivables related to a customer bankruptcy event. </w:t>
      </w:r>
    </w:p>
    <w:p>
      <w:pPr>
        <w:pStyle w:val="TextBody"/>
        <w:bidi w:val="0"/>
        <w:spacing w:before="0" w:after="0"/>
        <w:ind w:left="0" w:right="0" w:hanging="270"/>
        <w:jc w:val="left"/>
        <w:rPr/>
      </w:pPr>
      <w:r>
        <w:rPr/>
      </w:r>
    </w:p>
    <w:p>
      <w:pPr>
        <w:pStyle w:val="TextBody"/>
        <w:bidi w:val="0"/>
        <w:spacing w:lineRule="auto" w:line="276"/>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provision for litigation matters of $895 and $386, effects of lease termination of $489 and ($560) and other items, individually insignificant of $nil and $134 for the year ended December 31, 2023 and 2022, respectively. To exclude provision for litigation matters of $895 and $nil, and effects of lease termination of $nil and ($560) for the three months ended December 31, 2023 and 2022,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435"/>
        <w:gridCol w:w="995"/>
        <w:gridCol w:w="970"/>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217"/>
        <w:gridCol w:w="735"/>
        <w:gridCol w:w="174"/>
      </w:tblGrid>
      <w:tr>
        <w:trPr/>
        <w:tc>
          <w:tcPr>
            <w:tcW w:w="14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184,558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142,968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40,283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43,876</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Allowance/(reversal) for expected credit losses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Changes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Other expenses/(benefits)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stock-based compensation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Tax impact on allowance/(reversal)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Tax impact on changes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Tax impact on other expenses/(benefits)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add/(subtract): Other tax expenses/(benefits)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240,887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203,534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62,760</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diluted earnings per share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0.35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0.31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0.37</w:t>
            </w:r>
            <w:r>
              <w:rPr>
                <w:color w:val="000000"/>
              </w:rPr>
              <w:t>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the effects of material allowance/(reversal) for expected credit losses on accounts receivables related to a customer bankruptcy event.</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provision for litigation matters of $613 and $1,061, effects of lease termination of $489 and ($560) and other items, individually insignificant of $nil and $134 for the year ended December 31, 2023 and 2022, respectively. To exclude provision for litigation matters of $613 and $nil, and effects of lease termination of $nil and ($560) for the three months ended December 31, 2023 and 2022, respectively.</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(c) Tax impact includes $15,055 and $5,881 for the year ended December 31, 2023 and 2022 respectively, $1,883 and $2,349 for the three months ended December 31, 2023 and 2022 respectively, and $462 for the three months ended September 30, 2023 related to discrete benefit recognized in income tax expense in accordance with ASU No. 2016-09, Compensation - Stock Compensation.</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(d) To exclude other tax expenses/(benefits) related to certain deferred tax assets and liabilities.</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p>
      <w:pPr>
        <w:pStyle w:val="TextBody"/>
        <w:bidi w:val="0"/>
        <w:spacing w:before="120" w:after="120"/>
        <w:ind w:left="0" w:right="0" w:hanging="270"/>
        <w:jc w:val="both"/>
        <w:rPr/>
      </w:pPr>
      <w:r>
        <w:rPr/>
      </w:r>
    </w:p>
    <w:p>
      <w:pPr>
        <w:pStyle w:val="TextBody"/>
        <w:bidi w:val="0"/>
        <w:spacing w:before="120" w:after="120"/>
        <w:ind w:left="0" w:right="0" w:hanging="270"/>
        <w:jc w:val="both"/>
        <w:rPr/>
      </w:pPr>
      <w:r>
        <w:rPr/>
      </w:r>
    </w:p>
    <w:p>
      <w:pPr>
        <w:pStyle w:val="TextBody"/>
        <w:bidi w:val="0"/>
        <w:spacing w:before="120" w:after="120"/>
        <w:ind w:left="0" w:right="0" w:hanging="270"/>
        <w:jc w:val="both"/>
        <w:rPr/>
      </w:pPr>
      <w:r>
        <w:rPr/>
      </w:r>
    </w:p>
    <w:p>
      <w:pPr>
        <w:pStyle w:val="TextBody"/>
        <w:bidi w:val="0"/>
        <w:spacing w:before="120" w:after="120"/>
        <w:ind w:left="0" w:right="0" w:hanging="27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Contacts:</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Investor Relations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John Kristoff</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Vice President, Investor Relations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+1 212 209 4613</w: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Media - US</w: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Keith Little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Senior Manager, Media Relations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+1 703 598 0980 </w: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media.relations@exlservice.com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Media - UK, Europe, and APAC</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Anna Price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First Light Group</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+44 202 617 7240</w:t>
      </w:r>
    </w:p>
    <w:p>
      <w:pPr>
        <w:pStyle w:val="TextBody"/>
        <w:bidi w:val="0"/>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exlteam@firstlightgroup.io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Media - India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Shailendra Singh</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Vice President Corporate Communications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+91 9810476075</w:t>
      </w:r>
    </w:p>
    <w:p>
      <w:pPr>
        <w:pStyle w:val="TextBody"/>
        <w:bidi w:val="0"/>
        <w:spacing w:lineRule="auto" w:line="288"/>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shailendra.singh@exlservice.com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4255</Words>
  <Characters>24325</Characters>
  <CharactersWithSpaces>28172</CharactersWithSpaces>
  <Paragraphs>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