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l934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5)</w:t>
      </w:r>
      <w:r>
        <w:rPr>
          <w:rFonts w:ascii="Arial" w:cs="Arial" w:eastAsia="Arial" w:hAnsi="Arial"/>
          <w:sz w:val="18"/>
          <w:szCs w:val="18"/>
          <w:b w:val="1"/>
          <w:bCs w:val="1"/>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Exlservice Holdings,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$0.001 par value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302081104</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2016</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80" w:hanging="446"/>
        <w:spacing w:after="0" w:line="277" w:lineRule="auto"/>
        <w:rPr>
          <w:rFonts w:ascii="MS PGothic" w:cs="MS PGothic" w:eastAsia="MS PGothic" w:hAnsi="MS PGothic"/>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w:t>
      </w:r>
    </w:p>
    <w:p>
      <w:pPr>
        <w:spacing w:after="0" w:line="46" w:lineRule="exact"/>
        <w:rPr>
          <w:sz w:val="24"/>
          <w:szCs w:val="24"/>
          <w:color w:val="auto"/>
        </w:rPr>
      </w:pPr>
    </w:p>
    <w:p>
      <w:pPr>
        <w:ind w:right="300"/>
        <w:spacing w:after="0" w:line="261" w:lineRule="auto"/>
        <w:rPr>
          <w:sz w:val="20"/>
          <w:szCs w:val="20"/>
          <w:color w:val="auto"/>
        </w:rPr>
      </w:pPr>
      <w:r>
        <w:rPr>
          <w:rFonts w:ascii="Arial" w:cs="Arial" w:eastAsia="Arial" w:hAnsi="Arial"/>
          <w:sz w:val="18"/>
          <w:szCs w:val="18"/>
          <w:color w:val="auto"/>
        </w:rPr>
        <w:t>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CUSIP No. </w:t>
      </w:r>
      <w:r>
        <w:rPr>
          <w:rFonts w:ascii="Arial" w:cs="Arial" w:eastAsia="Arial" w:hAnsi="Arial"/>
          <w:sz w:val="18"/>
          <w:szCs w:val="18"/>
          <w:u w:val="single" w:color="auto"/>
          <w:color w:val="auto"/>
        </w:rPr>
        <w:t>302081104</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08"/>
        </w:trPr>
        <w:tc>
          <w:tcPr>
            <w:tcW w:w="42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18"/>
                <w:szCs w:val="18"/>
                <w:color w:val="auto"/>
              </w:rPr>
            </w:pPr>
          </w:p>
        </w:tc>
        <w:tc>
          <w:tcPr>
            <w:tcW w:w="10920" w:type="dxa"/>
            <w:vAlign w:val="bottom"/>
            <w:tcBorders>
              <w:top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75"/>
        </w:trPr>
        <w:tc>
          <w:tcPr>
            <w:tcW w:w="420" w:type="dxa"/>
            <w:vAlign w:val="bottom"/>
            <w:tcBorders>
              <w:left w:val="single" w:sz="8" w:color="auto"/>
            </w:tcBorders>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10920" w:type="dxa"/>
            <w:vAlign w:val="bottom"/>
            <w:tcBorders>
              <w:right w:val="single" w:sz="8" w:color="auto"/>
            </w:tcBorders>
            <w:gridSpan w:val="4"/>
          </w:tcPr>
          <w:p>
            <w:pPr>
              <w:ind w:left="100"/>
              <w:spacing w:after="0"/>
              <w:rPr>
                <w:sz w:val="20"/>
                <w:szCs w:val="20"/>
                <w:color w:val="auto"/>
              </w:rPr>
            </w:pPr>
            <w:r>
              <w:rPr>
                <w:rFonts w:ascii="Arial" w:cs="Arial" w:eastAsia="Arial" w:hAnsi="Arial"/>
                <w:sz w:val="22"/>
                <w:szCs w:val="22"/>
                <w:color w:val="auto"/>
              </w:rPr>
              <w:t>I.R.S. Identification Nos. of Above Persons (Entities Only)</w:t>
            </w:r>
          </w:p>
        </w:tc>
        <w:tc>
          <w:tcPr>
            <w:tcW w:w="0" w:type="dxa"/>
            <w:vAlign w:val="bottom"/>
          </w:tcPr>
          <w:p>
            <w:pPr>
              <w:spacing w:after="0"/>
              <w:rPr>
                <w:sz w:val="1"/>
                <w:szCs w:val="1"/>
                <w:color w:val="auto"/>
              </w:rPr>
            </w:pPr>
          </w:p>
        </w:tc>
      </w:tr>
      <w:tr>
        <w:trPr>
          <w:trHeight w:val="455"/>
        </w:trPr>
        <w:tc>
          <w:tcPr>
            <w:tcW w:w="42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920" w:type="dxa"/>
            <w:vAlign w:val="bottom"/>
            <w:tcBorders>
              <w:right w:val="single" w:sz="8" w:color="auto"/>
            </w:tcBorders>
            <w:gridSpan w:val="4"/>
          </w:tcPr>
          <w:p>
            <w:pPr>
              <w:ind w:left="100"/>
              <w:spacing w:after="0"/>
              <w:rPr>
                <w:sz w:val="20"/>
                <w:szCs w:val="20"/>
                <w:color w:val="auto"/>
              </w:rPr>
            </w:pPr>
            <w:r>
              <w:rPr>
                <w:rFonts w:ascii="Arial" w:cs="Arial" w:eastAsia="Arial" w:hAnsi="Arial"/>
                <w:sz w:val="22"/>
                <w:szCs w:val="22"/>
                <w:color w:val="auto"/>
              </w:rPr>
              <w:t>TimesSquare Capital Management, LLC</w:t>
            </w:r>
          </w:p>
        </w:tc>
        <w:tc>
          <w:tcPr>
            <w:tcW w:w="0" w:type="dxa"/>
            <w:vAlign w:val="bottom"/>
          </w:tcPr>
          <w:p>
            <w:pPr>
              <w:spacing w:after="0"/>
              <w:rPr>
                <w:sz w:val="1"/>
                <w:szCs w:val="1"/>
                <w:color w:val="auto"/>
              </w:rPr>
            </w:pPr>
          </w:p>
        </w:tc>
      </w:tr>
      <w:tr>
        <w:trPr>
          <w:trHeight w:val="276"/>
        </w:trPr>
        <w:tc>
          <w:tcPr>
            <w:tcW w:w="42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w w:val="90"/>
              </w:rPr>
              <w:t>20-1665304</w:t>
            </w:r>
          </w:p>
        </w:tc>
        <w:tc>
          <w:tcPr>
            <w:tcW w:w="6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20" w:type="dxa"/>
            <w:vAlign w:val="bottom"/>
            <w:tcBorders>
              <w:left w:val="single" w:sz="8" w:color="auto"/>
            </w:tcBorders>
          </w:tcPr>
          <w:p>
            <w:pPr>
              <w:jc w:val="right"/>
              <w:spacing w:after="0" w:line="164"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920" w:type="dxa"/>
            <w:vAlign w:val="bottom"/>
            <w:tcBorders>
              <w:right w:val="single" w:sz="8" w:color="auto"/>
            </w:tcBorders>
            <w:gridSpan w:val="4"/>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8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(b)</w:t>
            </w:r>
          </w:p>
        </w:tc>
        <w:tc>
          <w:tcPr>
            <w:tcW w:w="9740" w:type="dxa"/>
            <w:vAlign w:val="bottom"/>
            <w:tcBorders>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tcBorders>
            <w:gridSpan w:val="2"/>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w w:val="91"/>
              </w:rPr>
              <w:t>SEC Use Only</w:t>
            </w:r>
          </w:p>
        </w:tc>
        <w:tc>
          <w:tcPr>
            <w:tcW w:w="60" w:type="dxa"/>
            <w:vAlign w:val="bottom"/>
          </w:tcPr>
          <w:p>
            <w:pPr>
              <w:spacing w:after="0"/>
              <w:rPr>
                <w:sz w:val="19"/>
                <w:szCs w:val="19"/>
                <w:color w:val="auto"/>
              </w:rPr>
            </w:pPr>
          </w:p>
        </w:tc>
        <w:tc>
          <w:tcPr>
            <w:tcW w:w="9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92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9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2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Delaware</w:t>
            </w:r>
          </w:p>
        </w:tc>
        <w:tc>
          <w:tcPr>
            <w:tcW w:w="6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19"/>
                <w:szCs w:val="19"/>
                <w:color w:val="auto"/>
              </w:rPr>
            </w:pPr>
          </w:p>
        </w:tc>
        <w:tc>
          <w:tcPr>
            <w:tcW w:w="96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2"/>
        </w:trPr>
        <w:tc>
          <w:tcPr>
            <w:tcW w:w="120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Number of</w:t>
            </w: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1,342,551</w:t>
            </w:r>
          </w:p>
        </w:tc>
        <w:tc>
          <w:tcPr>
            <w:tcW w:w="0" w:type="dxa"/>
            <w:vAlign w:val="bottom"/>
          </w:tcPr>
          <w:p>
            <w:pPr>
              <w:spacing w:after="0"/>
              <w:rPr>
                <w:sz w:val="1"/>
                <w:szCs w:val="1"/>
                <w:color w:val="auto"/>
              </w:rPr>
            </w:pPr>
          </w:p>
        </w:tc>
      </w:tr>
      <w:tr>
        <w:trPr>
          <w:trHeight w:val="50"/>
        </w:trPr>
        <w:tc>
          <w:tcPr>
            <w:tcW w:w="1200" w:type="dxa"/>
            <w:vAlign w:val="bottom"/>
            <w:tcBorders>
              <w:left w:val="single" w:sz="8" w:color="auto"/>
              <w:right w:val="single" w:sz="8" w:color="auto"/>
            </w:tcBorders>
            <w:gridSpan w:val="3"/>
            <w:vMerge w:val="continue"/>
          </w:tcPr>
          <w:p>
            <w:pPr>
              <w:spacing w:after="0"/>
              <w:rPr>
                <w:sz w:val="4"/>
                <w:szCs w:val="4"/>
                <w:color w:val="auto"/>
              </w:rPr>
            </w:pPr>
          </w:p>
        </w:tc>
        <w:tc>
          <w:tcPr>
            <w:tcW w:w="500" w:type="dxa"/>
            <w:vAlign w:val="bottom"/>
            <w:vMerge w:val="restart"/>
          </w:tcPr>
          <w:p>
            <w:pPr>
              <w:jc w:val="right"/>
              <w:ind w:right="10"/>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4"/>
                <w:szCs w:val="4"/>
                <w:color w:val="auto"/>
              </w:rPr>
            </w:pPr>
          </w:p>
        </w:tc>
        <w:tc>
          <w:tcPr>
            <w:tcW w:w="96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20" w:type="dxa"/>
            <w:vAlign w:val="bottom"/>
            <w:tcBorders>
              <w:left w:val="single" w:sz="8" w:color="auto"/>
            </w:tcBorders>
          </w:tcPr>
          <w:p>
            <w:pPr>
              <w:spacing w:after="0"/>
              <w:rPr>
                <w:sz w:val="15"/>
                <w:szCs w:val="15"/>
                <w:color w:val="auto"/>
              </w:rPr>
            </w:pPr>
          </w:p>
        </w:tc>
        <w:tc>
          <w:tcPr>
            <w:tcW w:w="780" w:type="dxa"/>
            <w:vAlign w:val="bottom"/>
            <w:tcBorders>
              <w:right w:val="single" w:sz="8" w:color="auto"/>
            </w:tcBorders>
            <w:gridSpan w:val="2"/>
            <w:vMerge w:val="restart"/>
          </w:tcPr>
          <w:p>
            <w:pPr>
              <w:jc w:val="center"/>
              <w:ind w:right="162"/>
              <w:spacing w:after="0"/>
              <w:rPr>
                <w:sz w:val="20"/>
                <w:szCs w:val="20"/>
                <w:color w:val="auto"/>
              </w:rPr>
            </w:pPr>
            <w:r>
              <w:rPr>
                <w:rFonts w:ascii="Arial" w:cs="Arial" w:eastAsia="Arial" w:hAnsi="Arial"/>
                <w:sz w:val="18"/>
                <w:szCs w:val="18"/>
                <w:color w:val="auto"/>
                <w:w w:val="84"/>
              </w:rPr>
              <w:t>Shares</w:t>
            </w:r>
          </w:p>
        </w:tc>
        <w:tc>
          <w:tcPr>
            <w:tcW w:w="500" w:type="dxa"/>
            <w:vAlign w:val="bottom"/>
            <w:vMerge w:val="continue"/>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96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20" w:type="dxa"/>
            <w:vAlign w:val="bottom"/>
            <w:tcBorders>
              <w:left w:val="single" w:sz="8" w:color="auto"/>
            </w:tcBorders>
          </w:tcPr>
          <w:p>
            <w:pPr>
              <w:spacing w:after="0"/>
              <w:rPr>
                <w:sz w:val="3"/>
                <w:szCs w:val="3"/>
                <w:color w:val="auto"/>
              </w:rPr>
            </w:pPr>
          </w:p>
        </w:tc>
        <w:tc>
          <w:tcPr>
            <w:tcW w:w="780" w:type="dxa"/>
            <w:vAlign w:val="bottom"/>
            <w:tcBorders>
              <w:right w:val="single" w:sz="8" w:color="auto"/>
            </w:tcBorders>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96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6"/>
              </w:rPr>
              <w:t>Beneficially</w:t>
            </w:r>
          </w:p>
        </w:tc>
        <w:tc>
          <w:tcPr>
            <w:tcW w:w="50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6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20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50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6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Borders>
              <w:left w:val="single" w:sz="8" w:color="auto"/>
            </w:tcBorders>
          </w:tcPr>
          <w:p>
            <w:pPr>
              <w:spacing w:after="0"/>
              <w:rPr>
                <w:sz w:val="15"/>
                <w:szCs w:val="15"/>
                <w:color w:val="auto"/>
              </w:rPr>
            </w:pPr>
          </w:p>
        </w:tc>
        <w:tc>
          <w:tcPr>
            <w:tcW w:w="780" w:type="dxa"/>
            <w:vAlign w:val="bottom"/>
            <w:tcBorders>
              <w:right w:val="single" w:sz="8" w:color="auto"/>
            </w:tcBorders>
            <w:gridSpan w:val="2"/>
          </w:tcPr>
          <w:p>
            <w:pPr>
              <w:jc w:val="center"/>
              <w:ind w:right="162"/>
              <w:spacing w:after="0" w:line="182" w:lineRule="exact"/>
              <w:rPr>
                <w:sz w:val="20"/>
                <w:szCs w:val="20"/>
                <w:color w:val="auto"/>
              </w:rPr>
            </w:pPr>
            <w:r>
              <w:rPr>
                <w:rFonts w:ascii="Arial" w:cs="Arial" w:eastAsia="Arial" w:hAnsi="Arial"/>
                <w:sz w:val="18"/>
                <w:szCs w:val="18"/>
                <w:color w:val="auto"/>
                <w:w w:val="87"/>
              </w:rPr>
              <w:t>Each</w:t>
            </w: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60" w:type="dxa"/>
            <w:vAlign w:val="bottom"/>
            <w:tcBorders>
              <w:right w:val="single" w:sz="8" w:color="auto"/>
            </w:tcBorders>
          </w:tcPr>
          <w:p>
            <w:pPr>
              <w:spacing w:after="0"/>
              <w:rPr>
                <w:sz w:val="15"/>
                <w:szCs w:val="15"/>
                <w:color w:val="auto"/>
              </w:rPr>
            </w:pPr>
          </w:p>
        </w:tc>
        <w:tc>
          <w:tcPr>
            <w:tcW w:w="968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0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Reporting</w:t>
            </w:r>
          </w:p>
        </w:tc>
        <w:tc>
          <w:tcPr>
            <w:tcW w:w="50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20" w:type="dxa"/>
            <w:vAlign w:val="bottom"/>
            <w:tcBorders>
              <w:left w:val="single" w:sz="8" w:color="auto"/>
            </w:tcBorders>
          </w:tcPr>
          <w:p>
            <w:pPr>
              <w:spacing w:after="0"/>
              <w:rPr>
                <w:sz w:val="21"/>
                <w:szCs w:val="21"/>
                <w:color w:val="auto"/>
              </w:rPr>
            </w:pPr>
          </w:p>
        </w:tc>
        <w:tc>
          <w:tcPr>
            <w:tcW w:w="780" w:type="dxa"/>
            <w:vAlign w:val="bottom"/>
            <w:tcBorders>
              <w:right w:val="single" w:sz="8" w:color="auto"/>
            </w:tcBorders>
            <w:gridSpan w:val="2"/>
          </w:tcPr>
          <w:p>
            <w:pPr>
              <w:jc w:val="center"/>
              <w:ind w:right="182"/>
              <w:spacing w:after="0"/>
              <w:rPr>
                <w:sz w:val="20"/>
                <w:szCs w:val="20"/>
                <w:color w:val="auto"/>
              </w:rPr>
            </w:pPr>
            <w:r>
              <w:rPr>
                <w:rFonts w:ascii="Arial" w:cs="Arial" w:eastAsia="Arial" w:hAnsi="Arial"/>
                <w:sz w:val="18"/>
                <w:szCs w:val="18"/>
                <w:color w:val="auto"/>
                <w:w w:val="87"/>
              </w:rPr>
              <w:t>Person</w:t>
            </w:r>
          </w:p>
        </w:tc>
        <w:tc>
          <w:tcPr>
            <w:tcW w:w="50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9680" w:type="dxa"/>
            <w:vAlign w:val="bottom"/>
            <w:tcBorders>
              <w:right w:val="single" w:sz="8" w:color="auto"/>
            </w:tcBorders>
          </w:tcPr>
          <w:p>
            <w:pPr>
              <w:ind w:left="100"/>
              <w:spacing w:after="0" w:line="244" w:lineRule="exact"/>
              <w:rPr>
                <w:sz w:val="20"/>
                <w:szCs w:val="20"/>
                <w:color w:val="auto"/>
              </w:rPr>
            </w:pPr>
            <w:r>
              <w:rPr>
                <w:rFonts w:ascii="Arial" w:cs="Arial" w:eastAsia="Arial" w:hAnsi="Arial"/>
                <w:sz w:val="22"/>
                <w:szCs w:val="22"/>
                <w:color w:val="auto"/>
              </w:rPr>
              <w:t>1,347,151</w:t>
            </w: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780" w:type="dxa"/>
            <w:vAlign w:val="bottom"/>
            <w:tcBorders>
              <w:right w:val="single" w:sz="8" w:color="auto"/>
            </w:tcBorders>
            <w:gridSpan w:val="2"/>
            <w:vMerge w:val="restart"/>
          </w:tcPr>
          <w:p>
            <w:pPr>
              <w:jc w:val="center"/>
              <w:ind w:right="162"/>
              <w:spacing w:after="0"/>
              <w:rPr>
                <w:sz w:val="20"/>
                <w:szCs w:val="20"/>
                <w:color w:val="auto"/>
              </w:rPr>
            </w:pPr>
            <w:r>
              <w:rPr>
                <w:rFonts w:ascii="Arial" w:cs="Arial" w:eastAsia="Arial" w:hAnsi="Arial"/>
                <w:sz w:val="18"/>
                <w:szCs w:val="18"/>
                <w:color w:val="auto"/>
                <w:w w:val="99"/>
              </w:rPr>
              <w:t>With</w:t>
            </w:r>
          </w:p>
        </w:tc>
        <w:tc>
          <w:tcPr>
            <w:tcW w:w="50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96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20" w:type="dxa"/>
            <w:vAlign w:val="bottom"/>
            <w:tcBorders>
              <w:left w:val="single" w:sz="8" w:color="auto"/>
            </w:tcBorders>
          </w:tcPr>
          <w:p>
            <w:pPr>
              <w:spacing w:after="0"/>
              <w:rPr>
                <w:sz w:val="12"/>
                <w:szCs w:val="12"/>
                <w:color w:val="auto"/>
              </w:rPr>
            </w:pPr>
          </w:p>
        </w:tc>
        <w:tc>
          <w:tcPr>
            <w:tcW w:w="780" w:type="dxa"/>
            <w:vAlign w:val="bottom"/>
            <w:tcBorders>
              <w:right w:val="single" w:sz="8" w:color="auto"/>
            </w:tcBorders>
            <w:gridSpan w:val="2"/>
            <w:vMerge w:val="continue"/>
          </w:tcPr>
          <w:p>
            <w:pPr>
              <w:spacing w:after="0"/>
              <w:rPr>
                <w:sz w:val="12"/>
                <w:szCs w:val="12"/>
                <w:color w:val="auto"/>
              </w:rPr>
            </w:pPr>
          </w:p>
        </w:tc>
        <w:tc>
          <w:tcPr>
            <w:tcW w:w="500" w:type="dxa"/>
            <w:vAlign w:val="bottom"/>
            <w:vMerge w:val="restart"/>
          </w:tcPr>
          <w:p>
            <w:pPr>
              <w:jc w:val="right"/>
              <w:ind w:right="10"/>
              <w:spacing w:after="0"/>
              <w:rPr>
                <w:sz w:val="20"/>
                <w:szCs w:val="20"/>
                <w:color w:val="auto"/>
              </w:rPr>
            </w:pPr>
            <w:r>
              <w:rPr>
                <w:rFonts w:ascii="Arial" w:cs="Arial" w:eastAsia="Arial" w:hAnsi="Arial"/>
                <w:sz w:val="18"/>
                <w:szCs w:val="18"/>
                <w:color w:val="auto"/>
              </w:rPr>
              <w:t>(8)</w:t>
            </w:r>
          </w:p>
        </w:tc>
        <w:tc>
          <w:tcPr>
            <w:tcW w:w="60" w:type="dxa"/>
            <w:vAlign w:val="bottom"/>
            <w:tcBorders>
              <w:right w:val="single" w:sz="8" w:color="auto"/>
            </w:tcBorders>
          </w:tcPr>
          <w:p>
            <w:pPr>
              <w:spacing w:after="0"/>
              <w:rPr>
                <w:sz w:val="12"/>
                <w:szCs w:val="12"/>
                <w:color w:val="auto"/>
              </w:rPr>
            </w:pPr>
          </w:p>
        </w:tc>
        <w:tc>
          <w:tcPr>
            <w:tcW w:w="96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2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9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42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19"/>
                <w:szCs w:val="19"/>
                <w:color w:val="auto"/>
              </w:rPr>
            </w:pPr>
          </w:p>
        </w:tc>
        <w:tc>
          <w:tcPr>
            <w:tcW w:w="109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42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1,347,151</w:t>
            </w:r>
          </w:p>
        </w:tc>
        <w:tc>
          <w:tcPr>
            <w:tcW w:w="6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4"/>
                <w:szCs w:val="24"/>
                <w:color w:val="auto"/>
              </w:rPr>
            </w:pPr>
          </w:p>
        </w:tc>
        <w:tc>
          <w:tcPr>
            <w:tcW w:w="10920" w:type="dxa"/>
            <w:vAlign w:val="bottom"/>
            <w:tcBorders>
              <w:right w:val="single" w:sz="8" w:color="auto"/>
            </w:tcBorders>
            <w:gridSpan w:val="4"/>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520" w:type="dxa"/>
            <w:vAlign w:val="bottom"/>
            <w:tcBorders>
              <w:left w:val="single" w:sz="8" w:color="auto"/>
              <w:bottom w:val="single" w:sz="8" w:color="auto"/>
              <w:right w:val="single" w:sz="8" w:color="auto"/>
            </w:tcBorders>
            <w:gridSpan w:val="2"/>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spacing w:after="0"/>
              <w:rPr>
                <w:sz w:val="16"/>
                <w:szCs w:val="16"/>
                <w:color w:val="auto"/>
              </w:rPr>
            </w:pPr>
          </w:p>
        </w:tc>
        <w:tc>
          <w:tcPr>
            <w:tcW w:w="96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2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9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2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4.0%</w:t>
            </w: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19"/>
                <w:szCs w:val="19"/>
                <w:color w:val="auto"/>
              </w:rPr>
            </w:pPr>
          </w:p>
        </w:tc>
        <w:tc>
          <w:tcPr>
            <w:tcW w:w="109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2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IA</w:t>
            </w: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2" w:name="page3"/>
    <w:bookmarkEnd w:id="2"/>
    <w:p>
      <w:pPr>
        <w:ind w:left="53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l(a)</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Name of Issuer: Exlservice Holdings, Inc.</w:t>
      </w:r>
    </w:p>
    <w:p>
      <w:pPr>
        <w:spacing w:after="0" w:line="200" w:lineRule="exact"/>
        <w:rPr>
          <w:sz w:val="20"/>
          <w:szCs w:val="20"/>
          <w:color w:val="auto"/>
        </w:rPr>
      </w:pPr>
    </w:p>
    <w:p>
      <w:pPr>
        <w:spacing w:after="0" w:line="237" w:lineRule="exact"/>
        <w:rPr>
          <w:sz w:val="20"/>
          <w:szCs w:val="20"/>
          <w:color w:val="auto"/>
        </w:rPr>
      </w:pPr>
    </w:p>
    <w:p>
      <w:pPr>
        <w:ind w:left="5380"/>
        <w:spacing w:after="0"/>
        <w:rPr>
          <w:sz w:val="20"/>
          <w:szCs w:val="20"/>
          <w:color w:val="auto"/>
        </w:rPr>
      </w:pPr>
      <w:r>
        <w:rPr>
          <w:rFonts w:ascii="Arial" w:cs="Arial" w:eastAsia="Arial" w:hAnsi="Arial"/>
          <w:sz w:val="17"/>
          <w:szCs w:val="17"/>
          <w:b w:val="1"/>
          <w:bCs w:val="1"/>
          <w:color w:val="auto"/>
        </w:rPr>
        <w:t>Item l(b)</w:t>
      </w:r>
    </w:p>
    <w:p>
      <w:pPr>
        <w:sectPr>
          <w:pgSz w:w="11900" w:h="16838" w:orient="portrait"/>
          <w:cols w:equalWidth="0" w:num="1">
            <w:col w:w="10800"/>
          </w:cols>
          <w:pgMar w:left="240" w:top="270" w:right="859" w:bottom="1440" w:gutter="0" w:footer="0" w:header="0"/>
        </w:sect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Address of Issuer’s Principal Executive Offices: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280 Park Avenue, 38</w:t>
      </w:r>
      <w:r>
        <w:rPr>
          <w:rFonts w:ascii="Arial" w:cs="Arial" w:eastAsia="Arial" w:hAnsi="Arial"/>
          <w:sz w:val="13"/>
          <w:szCs w:val="13"/>
          <w:color w:val="auto"/>
        </w:rPr>
        <w:t>TH</w:t>
      </w:r>
      <w:r>
        <w:rPr>
          <w:rFonts w:ascii="Arial" w:cs="Arial" w:eastAsia="Arial" w:hAnsi="Arial"/>
          <w:sz w:val="16"/>
          <w:szCs w:val="16"/>
          <w:color w:val="auto"/>
        </w:rPr>
        <w:t xml:space="preserve"> Floor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200" w:lineRule="exact"/>
        <w:rPr>
          <w:sz w:val="20"/>
          <w:szCs w:val="20"/>
          <w:color w:val="auto"/>
        </w:rPr>
      </w:pPr>
    </w:p>
    <w:p>
      <w:pPr>
        <w:sectPr>
          <w:pgSz w:w="11900" w:h="16838" w:orient="portrait"/>
          <w:cols w:equalWidth="0" w:num="2">
            <w:col w:w="3480" w:space="640"/>
            <w:col w:w="6680"/>
          </w:cols>
          <w:pgMar w:left="240" w:top="270" w:right="859" w:bottom="1440" w:gutter="0" w:footer="0" w:header="0"/>
          <w:type w:val="continuous"/>
        </w:sectPr>
      </w:pPr>
    </w:p>
    <w:p>
      <w:pPr>
        <w:spacing w:after="0" w:line="23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Item 2(a)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 of Persons Filing: TimesSquare Capital Management, LLC (“TimesSquare”)</w:t>
      </w:r>
    </w:p>
    <w:p>
      <w:pPr>
        <w:spacing w:after="0" w:line="200" w:lineRule="exact"/>
        <w:rPr>
          <w:sz w:val="20"/>
          <w:szCs w:val="20"/>
          <w:color w:val="auto"/>
        </w:rPr>
      </w:pPr>
    </w:p>
    <w:p>
      <w:pPr>
        <w:spacing w:after="0" w:line="23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Item 2(b)</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Address of Principal Business Office or, if none, Residence:</w:t>
      </w:r>
    </w:p>
    <w:p>
      <w:pPr>
        <w:spacing w:after="0" w:line="25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TimesSquare:</w:t>
        <w:tab/>
        <w:t>7 Times Square, 42nd Floor</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NY 10036</w:t>
      </w:r>
    </w:p>
    <w:p>
      <w:pPr>
        <w:spacing w:after="0" w:line="200" w:lineRule="exact"/>
        <w:rPr>
          <w:sz w:val="20"/>
          <w:szCs w:val="20"/>
          <w:color w:val="auto"/>
        </w:rPr>
      </w:pPr>
    </w:p>
    <w:p>
      <w:pPr>
        <w:spacing w:after="0" w:line="23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Item 2(c)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Citizenship: TimesSquare is a Delaware limited liability company.</w:t>
      </w:r>
    </w:p>
    <w:p>
      <w:pPr>
        <w:spacing w:after="0" w:line="200" w:lineRule="exact"/>
        <w:rPr>
          <w:sz w:val="20"/>
          <w:szCs w:val="20"/>
          <w:color w:val="auto"/>
        </w:rPr>
      </w:pPr>
    </w:p>
    <w:p>
      <w:pPr>
        <w:spacing w:after="0" w:line="23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Item 2(d)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Title of Class of Securities: Common Stock, $0.001 par value</w:t>
      </w:r>
    </w:p>
    <w:p>
      <w:pPr>
        <w:spacing w:after="0" w:line="200" w:lineRule="exact"/>
        <w:rPr>
          <w:sz w:val="20"/>
          <w:szCs w:val="20"/>
          <w:color w:val="auto"/>
        </w:rPr>
      </w:pPr>
    </w:p>
    <w:p>
      <w:pPr>
        <w:spacing w:after="0" w:line="23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Item 2(e)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CUSIP Number: 302081104</w:t>
      </w:r>
    </w:p>
    <w:p>
      <w:pPr>
        <w:spacing w:after="0" w:line="200" w:lineRule="exact"/>
        <w:rPr>
          <w:sz w:val="20"/>
          <w:szCs w:val="20"/>
          <w:color w:val="auto"/>
        </w:rPr>
      </w:pPr>
    </w:p>
    <w:p>
      <w:pPr>
        <w:spacing w:after="0" w:line="237"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Item 3</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This statement is filed by TimesSquare pursuant to §§240.l3d-l(b), or 240.13d-2(b) or (c), on the basis that TimesSquare is an investment adviser in accordance with §240.13d-1(b)(1)(ii)(E).</w:t>
      </w:r>
    </w:p>
    <w:p>
      <w:pPr>
        <w:spacing w:after="0" w:line="383"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Item 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Ownership. The following ownership information is as of December 31, 2016.</w:t>
      </w:r>
    </w:p>
    <w:p>
      <w:pPr>
        <w:spacing w:after="0" w:line="13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 1,347,151</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4.0%</w:t>
      </w:r>
    </w:p>
    <w:p>
      <w:pPr>
        <w:spacing w:after="0" w:line="117"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Percent of class is based on 33,507,211 shares of Common Stock outstanding as of December 31, 2016 as reported to us by FT Interactive Data Corporation.</w:t>
      </w:r>
    </w:p>
    <w:p>
      <w:pPr>
        <w:sectPr>
          <w:pgSz w:w="11900" w:h="16838" w:orient="portrait"/>
          <w:cols w:equalWidth="0" w:num="1">
            <w:col w:w="10800"/>
          </w:cols>
          <w:pgMar w:left="240" w:top="270" w:right="859" w:bottom="1440" w:gutter="0" w:footer="0" w:header="0"/>
          <w:type w:val="continuous"/>
        </w:sectPr>
      </w:pPr>
    </w:p>
    <w:bookmarkStart w:id="3" w:name="page4"/>
    <w:bookmarkEnd w:id="3"/>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of shares as to which the person has: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1,342,551*</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1,347,151*</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52" w:lineRule="exact"/>
        <w:rPr>
          <w:sz w:val="20"/>
          <w:szCs w:val="20"/>
          <w:color w:val="auto"/>
        </w:rPr>
      </w:pPr>
    </w:p>
    <w:p>
      <w:pPr>
        <w:ind w:left="220" w:right="20" w:hanging="212"/>
        <w:spacing w:after="0" w:line="277"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of the shares reported on in this statement are owned by investment advisory clients of TimesSquare. In its role as investment adviser, TimesSquare has voting and dispositive power with respect to these shares.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Ownership of Five Percent or Less of a Class.</w:t>
      </w:r>
    </w:p>
    <w:p>
      <w:pPr>
        <w:spacing w:after="0" w:line="225" w:lineRule="exact"/>
        <w:rPr>
          <w:sz w:val="20"/>
          <w:szCs w:val="20"/>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Ownership of More than Five Percent on Behalf of Another Person.</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shares of Common Stock reported on in this statement are owned by investment advisory clients of TimesSquare, and such clients have the right to receive dividends from and proceeds from the sale of such shares. To TimesSquare’s knowledge, the interest of no one of these clients relates to more than 5% of the class.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7</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Identification and Classification of the Subsidiary Which Acquired the Security Being Reported on By the Parent Holding Company or Control Person.</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Identification and Classification of Members of the Group.</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Notice of Dissolution of Group.</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274" w:right="239" w:bottom="1440" w:gutter="0" w:footer="0" w:header="0"/>
        </w:sectPr>
      </w:pPr>
    </w:p>
    <w:bookmarkStart w:id="4" w:name="page5"/>
    <w:bookmarkEnd w:id="4"/>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l0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TIMESSQUARE CAPITAL MANAGEMENT,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Signature: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Andrews</w:t>
            </w:r>
          </w:p>
        </w:tc>
      </w:tr>
      <w:tr>
        <w:trPr>
          <w:trHeight w:val="317"/>
        </w:trPr>
        <w:tc>
          <w:tcPr>
            <w:tcW w:w="1160" w:type="dxa"/>
            <w:vAlign w:val="bottom"/>
          </w:tcPr>
          <w:p>
            <w:pPr>
              <w:spacing w:after="0"/>
              <w:rPr>
                <w:sz w:val="20"/>
                <w:szCs w:val="20"/>
                <w:color w:val="auto"/>
              </w:rPr>
            </w:pPr>
            <w:r>
              <w:rPr>
                <w:rFonts w:ascii="Arial" w:cs="Arial" w:eastAsia="Arial" w:hAnsi="Arial"/>
                <w:sz w:val="18"/>
                <w:szCs w:val="18"/>
                <w:color w:val="auto"/>
              </w:rPr>
              <w:t>Name/Title:</w:t>
            </w:r>
          </w:p>
        </w:tc>
        <w:tc>
          <w:tcPr>
            <w:tcW w:w="3420" w:type="dxa"/>
            <w:vAlign w:val="bottom"/>
          </w:tcPr>
          <w:p>
            <w:pPr>
              <w:spacing w:after="0"/>
              <w:rPr>
                <w:sz w:val="20"/>
                <w:szCs w:val="20"/>
                <w:color w:val="auto"/>
              </w:rPr>
            </w:pPr>
            <w:r>
              <w:rPr>
                <w:rFonts w:ascii="Arial" w:cs="Arial" w:eastAsia="Arial" w:hAnsi="Arial"/>
                <w:sz w:val="18"/>
                <w:szCs w:val="18"/>
                <w:color w:val="auto"/>
              </w:rPr>
              <w:t>Michael J.Andrews</w:t>
            </w:r>
          </w:p>
        </w:tc>
      </w:tr>
      <w:tr>
        <w:trPr>
          <w:trHeight w:val="230"/>
        </w:trPr>
        <w:tc>
          <w:tcPr>
            <w:tcW w:w="116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Interim Chief Compliance Officer</w:t>
            </w:r>
          </w:p>
        </w:tc>
      </w:tr>
    </w:tbl>
    <w:p>
      <w:pPr>
        <w:spacing w:after="0" w:line="1" w:lineRule="exact"/>
        <w:rPr>
          <w:sz w:val="20"/>
          <w:szCs w:val="20"/>
          <w:color w:val="auto"/>
        </w:rPr>
      </w:pPr>
    </w:p>
    <w:sectPr>
      <w:pgSz w:w="11900" w:h="16838" w:orient="portrait"/>
      <w:cols w:equalWidth="0" w:num="1">
        <w:col w:w="11260"/>
      </w:cols>
      <w:pgMar w:left="240" w:top="27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lvl w:ilvl="1">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3"/>
    </w:lvl>
    <w:lvl w:ilvl="1">
      <w:lvlJc w:val="left"/>
      <w:lvlText w:val="(%2)"/>
      <w:numFmt w:val="lowerRoman"/>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2019-12-06T22:38:24Z</dcterms:created>
  <dcterms:modified xsi:type="dcterms:W3CDTF">2019-12-06T22:38:24Z</dcterms:modified>
</cp:coreProperties>
</file>