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2" w:right="4280" w:hanging="4291"/>
        <w:spacing w:after="0" w:line="239" w:lineRule="auto"/>
        <w:rPr>
          <w:sz w:val="20"/>
          <w:szCs w:val="20"/>
          <w:color w:val="auto"/>
        </w:rPr>
      </w:pPr>
      <w:r>
        <w:rPr>
          <w:rFonts w:ascii="Courier New" w:cs="Courier New" w:eastAsia="Courier New" w:hAnsi="Courier New"/>
          <w:sz w:val="16"/>
          <w:szCs w:val="16"/>
          <w:color w:val="auto"/>
        </w:rPr>
        <w:t>As filed with the Securities and Exchange Commission on October 19, 2006 Registration No. 333-</w:t>
      </w:r>
    </w:p>
    <w:p>
      <w:pPr>
        <w:spacing w:after="0" w:line="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jc w:val="center"/>
        <w:ind w:right="3798"/>
        <w:spacing w:after="0"/>
        <w:rPr>
          <w:sz w:val="20"/>
          <w:szCs w:val="20"/>
          <w:color w:val="auto"/>
        </w:rPr>
      </w:pPr>
      <w:r>
        <w:rPr>
          <w:rFonts w:ascii="Courier New" w:cs="Courier New" w:eastAsia="Courier New" w:hAnsi="Courier New"/>
          <w:sz w:val="16"/>
          <w:szCs w:val="16"/>
          <w:color w:val="auto"/>
        </w:rPr>
        <w:t>UNITED STATES</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3442"/>
        <w:spacing w:after="0"/>
        <w:rPr>
          <w:sz w:val="20"/>
          <w:szCs w:val="20"/>
          <w:color w:val="auto"/>
        </w:rPr>
      </w:pPr>
      <w:r>
        <w:rPr>
          <w:rFonts w:ascii="Courier New" w:cs="Courier New" w:eastAsia="Courier New" w:hAnsi="Courier New"/>
          <w:sz w:val="16"/>
          <w:szCs w:val="16"/>
          <w:color w:val="auto"/>
        </w:rPr>
        <w:t>FORM S-1</w:t>
      </w:r>
    </w:p>
    <w:p>
      <w:pPr>
        <w:spacing w:after="0" w:line="2"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REGISTRATION STATEMENT</w:t>
      </w:r>
    </w:p>
    <w:p>
      <w:pPr>
        <w:spacing w:after="0" w:line="2" w:lineRule="exact"/>
        <w:rPr>
          <w:sz w:val="24"/>
          <w:szCs w:val="24"/>
          <w:color w:val="auto"/>
        </w:rPr>
      </w:pPr>
    </w:p>
    <w:p>
      <w:pPr>
        <w:ind w:left="3622"/>
        <w:spacing w:after="0"/>
        <w:rPr>
          <w:sz w:val="20"/>
          <w:szCs w:val="20"/>
          <w:color w:val="auto"/>
        </w:rPr>
      </w:pPr>
      <w:r>
        <w:rPr>
          <w:rFonts w:ascii="Courier New" w:cs="Courier New" w:eastAsia="Courier New" w:hAnsi="Courier New"/>
          <w:sz w:val="16"/>
          <w:szCs w:val="16"/>
          <w:color w:val="auto"/>
        </w:rPr>
        <w:t>UNDER</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THE SECURITIES ACT OF 1933</w:t>
      </w:r>
    </w:p>
    <w:p>
      <w:pPr>
        <w:spacing w:after="0" w:line="186"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EXLSERVICE HOLDINGS, INC.</w:t>
      </w:r>
    </w:p>
    <w:p>
      <w:pPr>
        <w:spacing w:after="0" w:line="200" w:lineRule="exact"/>
        <w:rPr>
          <w:sz w:val="24"/>
          <w:szCs w:val="24"/>
          <w:color w:val="auto"/>
        </w:rPr>
      </w:pPr>
    </w:p>
    <w:p>
      <w:pPr>
        <w:spacing w:after="0" w:line="352" w:lineRule="exact"/>
        <w:rPr>
          <w:sz w:val="24"/>
          <w:szCs w:val="24"/>
          <w:color w:val="auto"/>
        </w:rPr>
      </w:pPr>
    </w:p>
    <w:p>
      <w:pPr>
        <w:ind w:left="1242"/>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2"/>
          </w:cols>
          <w:pgMar w:left="238" w:top="239" w:right="139" w:bottom="0" w:gutter="0" w:footer="0" w:header="0"/>
        </w:sectPr>
      </w:pPr>
    </w:p>
    <w:p>
      <w:pPr>
        <w:spacing w:after="0" w:line="186" w:lineRule="exact"/>
        <w:rPr>
          <w:sz w:val="24"/>
          <w:szCs w:val="24"/>
          <w:color w:val="auto"/>
        </w:rPr>
      </w:pPr>
    </w:p>
    <w:p>
      <w:pPr>
        <w:ind w:left="1042"/>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(STATE OR OTHER JURISDICTION OF</w:t>
      </w:r>
    </w:p>
    <w:p>
      <w:pPr>
        <w:spacing w:after="0" w:line="11"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541990</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(PRIMARY STANDARD INDUSTRIAL</w:t>
      </w:r>
    </w:p>
    <w:p>
      <w:pPr>
        <w:spacing w:after="0" w:line="13" w:lineRule="exact"/>
        <w:rPr>
          <w:sz w:val="24"/>
          <w:szCs w:val="24"/>
          <w:color w:val="auto"/>
        </w:rPr>
      </w:pPr>
    </w:p>
    <w:p>
      <w:pPr>
        <w:jc w:val="center"/>
        <w:ind w:left="-99"/>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560"/>
        <w:spacing w:after="0"/>
        <w:rPr>
          <w:sz w:val="20"/>
          <w:szCs w:val="20"/>
          <w:color w:val="auto"/>
        </w:rPr>
      </w:pPr>
      <w:r>
        <w:rPr>
          <w:rFonts w:ascii="Courier New" w:cs="Courier New" w:eastAsia="Courier New" w:hAnsi="Courier New"/>
          <w:sz w:val="16"/>
          <w:szCs w:val="16"/>
          <w:color w:val="auto"/>
        </w:rPr>
        <w:t>82-0572194</w:t>
      </w:r>
    </w:p>
    <w:p>
      <w:pPr>
        <w:spacing w:after="0" w:line="2"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208" w:lineRule="exact"/>
        <w:rPr>
          <w:sz w:val="24"/>
          <w:szCs w:val="24"/>
          <w:color w:val="auto"/>
        </w:rPr>
      </w:pPr>
    </w:p>
    <w:p>
      <w:pPr>
        <w:sectPr>
          <w:pgSz w:w="11900" w:h="16838" w:orient="portrait"/>
          <w:cols w:equalWidth="0" w:num="3">
            <w:col w:w="2962" w:space="280"/>
            <w:col w:w="2680" w:space="280"/>
            <w:col w:w="5320"/>
          </w:cols>
          <w:pgMar w:left="238" w:top="239" w:right="139" w:bottom="0" w:gutter="0" w:footer="0" w:header="0"/>
          <w:type w:val="continuous"/>
        </w:sectPr>
      </w:pPr>
    </w:p>
    <w:p>
      <w:pPr>
        <w:spacing w:after="0" w:line="169"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350 PARK AVENUE</w:t>
      </w:r>
    </w:p>
    <w:p>
      <w:pPr>
        <w:spacing w:after="0" w:line="2"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NEW YORK, NEW YORK 10022</w:t>
      </w:r>
    </w:p>
    <w:p>
      <w:pPr>
        <w:spacing w:after="0" w:line="2"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(212) 277-7100</w:t>
      </w:r>
    </w:p>
    <w:p>
      <w:pPr>
        <w:spacing w:after="0" w:line="5" w:lineRule="exact"/>
        <w:rPr>
          <w:sz w:val="24"/>
          <w:szCs w:val="24"/>
          <w:color w:val="auto"/>
        </w:rPr>
      </w:pPr>
    </w:p>
    <w:p>
      <w:pPr>
        <w:ind w:left="962"/>
        <w:spacing w:after="0"/>
        <w:rPr>
          <w:sz w:val="20"/>
          <w:szCs w:val="20"/>
          <w:color w:val="auto"/>
        </w:rPr>
      </w:pPr>
      <w:r>
        <w:rPr>
          <w:rFonts w:ascii="Courier New" w:cs="Courier New" w:eastAsia="Courier New" w:hAnsi="Courier New"/>
          <w:sz w:val="15"/>
          <w:szCs w:val="15"/>
          <w:color w:val="auto"/>
        </w:rPr>
        <w:t>(ADDRESS, INCLUDING ZIP CODE, AND TELEPHONE NUMBER, INCLUDING</w:t>
      </w:r>
    </w:p>
    <w:p>
      <w:pPr>
        <w:spacing w:after="0" w:line="11" w:lineRule="exact"/>
        <w:rPr>
          <w:sz w:val="24"/>
          <w:szCs w:val="24"/>
          <w:color w:val="auto"/>
        </w:rPr>
      </w:pPr>
    </w:p>
    <w:p>
      <w:pPr>
        <w:ind w:left="1242"/>
        <w:spacing w:after="0"/>
        <w:rPr>
          <w:sz w:val="20"/>
          <w:szCs w:val="20"/>
          <w:color w:val="auto"/>
        </w:rPr>
      </w:pPr>
      <w:r>
        <w:rPr>
          <w:rFonts w:ascii="Courier New" w:cs="Courier New" w:eastAsia="Courier New" w:hAnsi="Courier New"/>
          <w:sz w:val="16"/>
          <w:szCs w:val="16"/>
          <w:color w:val="auto"/>
        </w:rPr>
        <w:t>AREA CODE, OF REGISTRANT'S PRINCIPAL EXECUTIVE OFFICES)</w:t>
      </w:r>
    </w:p>
    <w:p>
      <w:pPr>
        <w:spacing w:after="0" w:line="186"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VIKRAM TALWAR</w:t>
      </w:r>
    </w:p>
    <w:p>
      <w:pPr>
        <w:spacing w:after="0" w:line="2"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CHIEF EXECUTIVE OFFICER</w:t>
      </w:r>
    </w:p>
    <w:p>
      <w:pPr>
        <w:spacing w:after="0" w:line="2"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EXLSERVICE HOLDINGS, INC.</w:t>
      </w:r>
    </w:p>
    <w:p>
      <w:pPr>
        <w:spacing w:after="0" w:line="2"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350 PARK AVENUE</w:t>
      </w:r>
    </w:p>
    <w:p>
      <w:pPr>
        <w:spacing w:after="0" w:line="2"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NEW YORK, NEW YORK 10022</w:t>
      </w:r>
    </w:p>
    <w:p>
      <w:pPr>
        <w:spacing w:after="0" w:line="2"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(212) 277-7100</w:t>
      </w:r>
    </w:p>
    <w:p>
      <w:pPr>
        <w:spacing w:after="0" w:line="2" w:lineRule="exact"/>
        <w:rPr>
          <w:sz w:val="24"/>
          <w:szCs w:val="24"/>
          <w:color w:val="auto"/>
        </w:rPr>
      </w:pPr>
    </w:p>
    <w:p>
      <w:pPr>
        <w:ind w:left="1142"/>
        <w:spacing w:after="0"/>
        <w:rPr>
          <w:sz w:val="20"/>
          <w:szCs w:val="20"/>
          <w:color w:val="auto"/>
        </w:rPr>
      </w:pPr>
      <w:r>
        <w:rPr>
          <w:rFonts w:ascii="Courier New" w:cs="Courier New" w:eastAsia="Courier New" w:hAnsi="Courier New"/>
          <w:sz w:val="16"/>
          <w:szCs w:val="16"/>
          <w:color w:val="auto"/>
        </w:rPr>
        <w:t>(NAME, ADDRESS, INCLUDING ZIP CODE, AND TELEPHONE NUMBER,</w:t>
      </w:r>
    </w:p>
    <w:p>
      <w:pPr>
        <w:spacing w:after="0" w:line="2" w:lineRule="exact"/>
        <w:rPr>
          <w:sz w:val="24"/>
          <w:szCs w:val="24"/>
          <w:color w:val="auto"/>
        </w:rPr>
      </w:pPr>
    </w:p>
    <w:p>
      <w:pPr>
        <w:ind w:left="1802"/>
        <w:spacing w:after="0"/>
        <w:rPr>
          <w:sz w:val="20"/>
          <w:szCs w:val="20"/>
          <w:color w:val="auto"/>
        </w:rPr>
      </w:pPr>
      <w:r>
        <w:rPr>
          <w:rFonts w:ascii="Courier New" w:cs="Courier New" w:eastAsia="Courier New" w:hAnsi="Courier New"/>
          <w:sz w:val="16"/>
          <w:szCs w:val="16"/>
          <w:color w:val="auto"/>
        </w:rPr>
        <w:t>INCLUDING AREA CODE, OF AGENT FOR SERVICE)</w:t>
      </w:r>
    </w:p>
    <w:p>
      <w:pPr>
        <w:spacing w:after="0" w:line="200" w:lineRule="exact"/>
        <w:rPr>
          <w:sz w:val="24"/>
          <w:szCs w:val="24"/>
          <w:color w:val="auto"/>
        </w:rPr>
      </w:pPr>
    </w:p>
    <w:p>
      <w:pPr>
        <w:spacing w:after="0" w:line="352"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COPIES TO:</w:t>
      </w:r>
    </w:p>
    <w:p>
      <w:pPr>
        <w:sectPr>
          <w:pgSz w:w="11900" w:h="16838" w:orient="portrait"/>
          <w:cols w:equalWidth="0" w:num="1">
            <w:col w:w="11522"/>
          </w:cols>
          <w:pgMar w:left="238" w:top="239" w:right="139" w:bottom="0" w:gutter="0" w:footer="0" w:header="0"/>
          <w:type w:val="continuous"/>
        </w:sectPr>
      </w:pPr>
    </w:p>
    <w:p>
      <w:pPr>
        <w:spacing w:after="0" w:line="186" w:lineRule="exact"/>
        <w:rPr>
          <w:sz w:val="24"/>
          <w:szCs w:val="24"/>
          <w:color w:val="auto"/>
        </w:rPr>
      </w:pPr>
    </w:p>
    <w:p>
      <w:pPr>
        <w:ind w:left="1042"/>
        <w:spacing w:after="0"/>
        <w:rPr>
          <w:sz w:val="20"/>
          <w:szCs w:val="20"/>
          <w:color w:val="auto"/>
        </w:rPr>
      </w:pPr>
      <w:r>
        <w:rPr>
          <w:rFonts w:ascii="Courier New" w:cs="Courier New" w:eastAsia="Courier New" w:hAnsi="Courier New"/>
          <w:sz w:val="16"/>
          <w:szCs w:val="16"/>
          <w:color w:val="auto"/>
        </w:rPr>
        <w:t>JOHN C. KENNEDY, ESQ.</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PAUL, WEISS, RIFKIND, WHARTON &amp; GARRISON LLP</w:t>
      </w:r>
    </w:p>
    <w:p>
      <w:pPr>
        <w:spacing w:after="0" w:line="11" w:lineRule="exact"/>
        <w:rPr>
          <w:sz w:val="24"/>
          <w:szCs w:val="24"/>
          <w:color w:val="auto"/>
        </w:rPr>
      </w:pPr>
    </w:p>
    <w:p>
      <w:pPr>
        <w:ind w:left="762"/>
        <w:spacing w:after="0"/>
        <w:rPr>
          <w:sz w:val="20"/>
          <w:szCs w:val="20"/>
          <w:color w:val="auto"/>
        </w:rPr>
      </w:pPr>
      <w:r>
        <w:rPr>
          <w:rFonts w:ascii="Courier New" w:cs="Courier New" w:eastAsia="Courier New" w:hAnsi="Courier New"/>
          <w:sz w:val="16"/>
          <w:szCs w:val="16"/>
          <w:color w:val="auto"/>
        </w:rPr>
        <w:t>1285 AVENUE OF THE AMERICAS</w:t>
      </w:r>
    </w:p>
    <w:p>
      <w:pPr>
        <w:spacing w:after="0" w:line="2" w:lineRule="exact"/>
        <w:rPr>
          <w:sz w:val="24"/>
          <w:szCs w:val="24"/>
          <w:color w:val="auto"/>
        </w:rPr>
      </w:pPr>
    </w:p>
    <w:p>
      <w:pPr>
        <w:ind w:left="662"/>
        <w:spacing w:after="0"/>
        <w:rPr>
          <w:sz w:val="20"/>
          <w:szCs w:val="20"/>
          <w:color w:val="auto"/>
        </w:rPr>
      </w:pPr>
      <w:r>
        <w:rPr>
          <w:rFonts w:ascii="Courier New" w:cs="Courier New" w:eastAsia="Courier New" w:hAnsi="Courier New"/>
          <w:sz w:val="16"/>
          <w:szCs w:val="16"/>
          <w:color w:val="auto"/>
        </w:rPr>
        <w:t>NEW YORK, NEW YORK 10019-6064</w:t>
      </w:r>
    </w:p>
    <w:p>
      <w:pPr>
        <w:spacing w:after="0" w:line="2" w:lineRule="exact"/>
        <w:rPr>
          <w:sz w:val="24"/>
          <w:szCs w:val="24"/>
          <w:color w:val="auto"/>
        </w:rPr>
      </w:pPr>
    </w:p>
    <w:p>
      <w:pPr>
        <w:ind w:left="1142"/>
        <w:spacing w:after="0"/>
        <w:rPr>
          <w:sz w:val="20"/>
          <w:szCs w:val="20"/>
          <w:color w:val="auto"/>
        </w:rPr>
      </w:pPr>
      <w:r>
        <w:rPr>
          <w:rFonts w:ascii="Courier New" w:cs="Courier New" w:eastAsia="Courier New" w:hAnsi="Courier New"/>
          <w:sz w:val="16"/>
          <w:szCs w:val="16"/>
          <w:color w:val="auto"/>
        </w:rPr>
        <w:t>(212) 373-3000</w:t>
      </w:r>
    </w:p>
    <w:p>
      <w:pPr>
        <w:spacing w:after="0" w:line="2" w:lineRule="exact"/>
        <w:rPr>
          <w:sz w:val="24"/>
          <w:szCs w:val="24"/>
          <w:color w:val="auto"/>
        </w:rPr>
      </w:pPr>
    </w:p>
    <w:p>
      <w:pPr>
        <w:ind w:left="962"/>
        <w:spacing w:after="0"/>
        <w:rPr>
          <w:sz w:val="20"/>
          <w:szCs w:val="20"/>
          <w:color w:val="auto"/>
        </w:rPr>
      </w:pPr>
      <w:r>
        <w:rPr>
          <w:rFonts w:ascii="Courier New" w:cs="Courier New" w:eastAsia="Courier New" w:hAnsi="Courier New"/>
          <w:sz w:val="16"/>
          <w:szCs w:val="16"/>
          <w:color w:val="auto"/>
        </w:rPr>
        <w:t>FAX: (212) 757-3990</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AMIT SHASHANK</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GENERAL COUNSEL AND VICE PRESIDENT</w:t>
      </w:r>
    </w:p>
    <w:p>
      <w:pPr>
        <w:spacing w:after="0" w:line="11"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EXLSERVICE HOLDINGS, INC.</w:t>
      </w:r>
    </w:p>
    <w:p>
      <w:pPr>
        <w:spacing w:after="0" w:line="2"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350 PARK AVENUE</w:t>
      </w:r>
    </w:p>
    <w:p>
      <w:pPr>
        <w:spacing w:after="0" w:line="2" w:lineRule="exact"/>
        <w:rPr>
          <w:sz w:val="24"/>
          <w:szCs w:val="24"/>
          <w:color w:val="auto"/>
        </w:rPr>
      </w:pPr>
    </w:p>
    <w:p>
      <w:pPr>
        <w:ind w:left="560"/>
        <w:spacing w:after="0"/>
        <w:rPr>
          <w:sz w:val="20"/>
          <w:szCs w:val="20"/>
          <w:color w:val="auto"/>
        </w:rPr>
      </w:pPr>
      <w:r>
        <w:rPr>
          <w:rFonts w:ascii="Courier New" w:cs="Courier New" w:eastAsia="Courier New" w:hAnsi="Courier New"/>
          <w:sz w:val="16"/>
          <w:szCs w:val="16"/>
          <w:color w:val="auto"/>
        </w:rPr>
        <w:t>NEW YORK, NEW YORK 10022</w:t>
      </w:r>
    </w:p>
    <w:p>
      <w:pPr>
        <w:spacing w:after="0" w:line="2"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(212) 277-7100</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JANET L. FISHER, ESQ.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CLEARY GOTTLIEB STEEN &amp; HAMILTON LLP</w:t>
      </w:r>
    </w:p>
    <w:p>
      <w:pPr>
        <w:spacing w:after="0" w:line="1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ONE LIBERTY PLAZA</w:t>
      </w:r>
    </w:p>
    <w:p>
      <w:pPr>
        <w:spacing w:after="0" w:line="2"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NEW YORK, NEW YORK 10006</w:t>
      </w:r>
    </w:p>
    <w:p>
      <w:pPr>
        <w:spacing w:after="0" w:line="2"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(212) 225-2000</w:t>
      </w:r>
    </w:p>
    <w:p>
      <w:pPr>
        <w:spacing w:after="0" w:line="369" w:lineRule="exact"/>
        <w:rPr>
          <w:sz w:val="24"/>
          <w:szCs w:val="24"/>
          <w:color w:val="auto"/>
        </w:rPr>
      </w:pPr>
    </w:p>
    <w:p>
      <w:pPr>
        <w:sectPr>
          <w:pgSz w:w="11900" w:h="16838" w:orient="portrait"/>
          <w:cols w:equalWidth="0" w:num="3">
            <w:col w:w="4202" w:space="380"/>
            <w:col w:w="3240" w:space="280"/>
            <w:col w:w="3420"/>
          </w:cols>
          <w:pgMar w:left="238" w:top="239" w:right="139" w:bottom="0" w:gutter="0" w:footer="0" w:header="0"/>
          <w:type w:val="continuous"/>
        </w:sectPr>
      </w:pPr>
    </w:p>
    <w:p>
      <w:pPr>
        <w:ind w:left="2282"/>
        <w:spacing w:after="0"/>
        <w:rPr>
          <w:sz w:val="20"/>
          <w:szCs w:val="20"/>
          <w:color w:val="auto"/>
        </w:rPr>
      </w:pPr>
      <w:r>
        <w:rPr>
          <w:rFonts w:ascii="Courier New" w:cs="Courier New" w:eastAsia="Courier New" w:hAnsi="Courier New"/>
          <w:sz w:val="16"/>
          <w:szCs w:val="16"/>
          <w:color w:val="auto"/>
        </w:rPr>
        <w:t>______________________________</w:t>
      </w:r>
    </w:p>
    <w:p>
      <w:pPr>
        <w:spacing w:after="0" w:line="188" w:lineRule="exact"/>
        <w:rPr>
          <w:sz w:val="24"/>
          <w:szCs w:val="24"/>
          <w:color w:val="auto"/>
        </w:rPr>
      </w:pPr>
    </w:p>
    <w:p>
      <w:pPr>
        <w:ind w:left="2" w:right="3980" w:firstLine="477"/>
        <w:spacing w:after="0"/>
        <w:rPr>
          <w:sz w:val="20"/>
          <w:szCs w:val="20"/>
          <w:color w:val="auto"/>
        </w:rPr>
      </w:pPr>
      <w:r>
        <w:rPr>
          <w:rFonts w:ascii="Courier New" w:cs="Courier New" w:eastAsia="Courier New" w:hAnsi="Courier New"/>
          <w:sz w:val="16"/>
          <w:szCs w:val="16"/>
          <w:color w:val="auto"/>
        </w:rPr>
        <w:t>APPROXIMATE DATE OF COMMENCEMENT OF PROPOSED SALE OF THE SECURITIES TO THE PUBLIC: AS SOON AS PRACTICABLE AFTER THIS REGISTRATION STATEMENT BECOMES EFFECTIVE.</w:t>
      </w:r>
    </w:p>
    <w:p>
      <w:pPr>
        <w:spacing w:after="0" w:line="190" w:lineRule="exact"/>
        <w:rPr>
          <w:sz w:val="24"/>
          <w:szCs w:val="24"/>
          <w:color w:val="auto"/>
        </w:rPr>
      </w:pPr>
    </w:p>
    <w:p>
      <w:pPr>
        <w:jc w:val="both"/>
        <w:ind w:left="2" w:right="3900" w:firstLine="382"/>
        <w:spacing w:after="0"/>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check the following box. [_]</w:t>
      </w:r>
    </w:p>
    <w:p>
      <w:pPr>
        <w:spacing w:after="0" w:line="190" w:lineRule="exact"/>
        <w:rPr>
          <w:sz w:val="24"/>
          <w:szCs w:val="24"/>
          <w:color w:val="auto"/>
        </w:rPr>
      </w:pPr>
    </w:p>
    <w:p>
      <w:pPr>
        <w:jc w:val="both"/>
        <w:ind w:left="2" w:right="3900" w:firstLine="382"/>
        <w:spacing w:after="0" w:line="241"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[X] 333-121001</w:t>
      </w:r>
    </w:p>
    <w:p>
      <w:pPr>
        <w:spacing w:after="0" w:line="189" w:lineRule="exact"/>
        <w:rPr>
          <w:sz w:val="24"/>
          <w:szCs w:val="24"/>
          <w:color w:val="auto"/>
        </w:rPr>
      </w:pPr>
    </w:p>
    <w:p>
      <w:pPr>
        <w:jc w:val="both"/>
        <w:ind w:left="2" w:right="3900" w:firstLine="382"/>
        <w:spacing w:after="0" w:line="241"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89" w:lineRule="exact"/>
        <w:rPr>
          <w:sz w:val="24"/>
          <w:szCs w:val="24"/>
          <w:color w:val="auto"/>
        </w:rPr>
      </w:pPr>
    </w:p>
    <w:p>
      <w:pPr>
        <w:jc w:val="both"/>
        <w:ind w:left="2" w:right="3900" w:firstLine="382"/>
        <w:spacing w:after="0" w:line="241"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189" w:lineRule="exact"/>
        <w:rPr>
          <w:sz w:val="24"/>
          <w:szCs w:val="24"/>
          <w:color w:val="auto"/>
        </w:rPr>
      </w:pPr>
    </w:p>
    <w:p>
      <w:pPr>
        <w:jc w:val="both"/>
        <w:ind w:left="2" w:right="3900" w:firstLine="382"/>
        <w:spacing w:after="0" w:line="239"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box.[_]</w:t>
      </w:r>
    </w:p>
    <w:p>
      <w:pPr>
        <w:spacing w:after="0" w:line="186" w:lineRule="exact"/>
        <w:rPr>
          <w:sz w:val="24"/>
          <w:szCs w:val="24"/>
          <w:color w:val="auto"/>
        </w:rPr>
      </w:pPr>
    </w:p>
    <w:p>
      <w:pPr>
        <w:jc w:val="center"/>
        <w:ind w:right="3798"/>
        <w:spacing w:after="0"/>
        <w:rPr>
          <w:sz w:val="20"/>
          <w:szCs w:val="20"/>
          <w:color w:val="auto"/>
        </w:rPr>
      </w:pPr>
      <w:r>
        <w:rPr>
          <w:rFonts w:ascii="Courier New" w:cs="Courier New" w:eastAsia="Courier New" w:hAnsi="Courier New"/>
          <w:sz w:val="16"/>
          <w:szCs w:val="16"/>
          <w:color w:val="auto"/>
        </w:rPr>
        <w:t>CALCULATION OF REGISTRATION FEE</w:t>
      </w:r>
    </w:p>
    <w:p>
      <w:pPr>
        <w:spacing w:after="0" w:line="5"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4382"/>
        <w:spacing w:after="0"/>
        <w:tabs>
          <w:tab w:leader="none" w:pos="6462" w:val="left"/>
        </w:tabs>
        <w:rPr>
          <w:sz w:val="20"/>
          <w:szCs w:val="20"/>
          <w:color w:val="auto"/>
        </w:rPr>
      </w:pP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5"/>
          <w:szCs w:val="15"/>
          <w:color w:val="auto"/>
        </w:rPr>
        <w:t>AMOUNT OF</w:t>
      </w:r>
    </w:p>
    <w:p>
      <w:pPr>
        <w:spacing w:after="0" w:line="2" w:lineRule="exact"/>
        <w:rPr>
          <w:sz w:val="24"/>
          <w:szCs w:val="24"/>
          <w:color w:val="auto"/>
        </w:rPr>
      </w:pPr>
    </w:p>
    <w:p>
      <w:pPr>
        <w:ind w:left="1142"/>
        <w:spacing w:after="0"/>
        <w:tabs>
          <w:tab w:leader="none" w:pos="4262" w:val="left"/>
          <w:tab w:leader="none" w:pos="6282" w:val="left"/>
        </w:tabs>
        <w:rPr>
          <w:sz w:val="20"/>
          <w:szCs w:val="20"/>
          <w:color w:val="auto"/>
        </w:rPr>
      </w:pPr>
      <w:r>
        <w:rPr>
          <w:rFonts w:ascii="Courier New" w:cs="Courier New" w:eastAsia="Courier New" w:hAnsi="Courier New"/>
          <w:sz w:val="16"/>
          <w:szCs w:val="16"/>
          <w:color w:val="auto"/>
        </w:rPr>
        <w:t>TITLE OF EACH CLASS OF</w:t>
      </w:r>
      <w:r>
        <w:rPr>
          <w:sz w:val="20"/>
          <w:szCs w:val="20"/>
          <w:color w:val="auto"/>
        </w:rPr>
        <w:tab/>
      </w:r>
      <w:r>
        <w:rPr>
          <w:rFonts w:ascii="Courier New" w:cs="Courier New" w:eastAsia="Courier New" w:hAnsi="Courier New"/>
          <w:sz w:val="16"/>
          <w:szCs w:val="16"/>
          <w:color w:val="auto"/>
        </w:rPr>
        <w:t>AGGREGATE OFFERING</w:t>
      </w:r>
      <w:r>
        <w:rPr>
          <w:sz w:val="20"/>
          <w:szCs w:val="20"/>
          <w:color w:val="auto"/>
        </w:rPr>
        <w:tab/>
      </w:r>
      <w:r>
        <w:rPr>
          <w:rFonts w:ascii="Courier New" w:cs="Courier New" w:eastAsia="Courier New" w:hAnsi="Courier New"/>
          <w:sz w:val="15"/>
          <w:szCs w:val="15"/>
          <w:color w:val="auto"/>
        </w:rPr>
        <w:t>REGISTRATION</w:t>
      </w:r>
    </w:p>
    <w:p>
      <w:pPr>
        <w:spacing w:after="0" w:line="2" w:lineRule="exact"/>
        <w:rPr>
          <w:sz w:val="24"/>
          <w:szCs w:val="24"/>
          <w:color w:val="auto"/>
        </w:rPr>
      </w:pPr>
    </w:p>
    <w:p>
      <w:pPr>
        <w:ind w:left="962"/>
        <w:spacing w:after="0"/>
        <w:tabs>
          <w:tab w:leader="none" w:pos="4562" w:val="left"/>
          <w:tab w:leader="none" w:pos="6742" w:val="left"/>
        </w:tabs>
        <w:rPr>
          <w:sz w:val="20"/>
          <w:szCs w:val="20"/>
          <w:color w:val="auto"/>
        </w:rPr>
      </w:pPr>
      <w:r>
        <w:rPr>
          <w:rFonts w:ascii="Courier New" w:cs="Courier New" w:eastAsia="Courier New" w:hAnsi="Courier New"/>
          <w:sz w:val="16"/>
          <w:szCs w:val="16"/>
          <w:color w:val="auto"/>
        </w:rPr>
        <w:t>SECURITIES TO BE REGISTERED</w:t>
      </w:r>
      <w:r>
        <w:rPr>
          <w:sz w:val="20"/>
          <w:szCs w:val="20"/>
          <w:color w:val="auto"/>
        </w:rPr>
        <w:tab/>
      </w:r>
      <w:r>
        <w:rPr>
          <w:rFonts w:ascii="Courier New" w:cs="Courier New" w:eastAsia="Courier New" w:hAnsi="Courier New"/>
          <w:sz w:val="16"/>
          <w:szCs w:val="16"/>
          <w:color w:val="auto"/>
        </w:rPr>
        <w:t>PRICE (1)(2)</w:t>
      </w:r>
      <w:r>
        <w:rPr>
          <w:sz w:val="20"/>
          <w:szCs w:val="20"/>
          <w:color w:val="auto"/>
        </w:rPr>
        <w:tab/>
      </w:r>
      <w:r>
        <w:rPr>
          <w:rFonts w:ascii="Courier New" w:cs="Courier New" w:eastAsia="Courier New" w:hAnsi="Courier New"/>
          <w:sz w:val="16"/>
          <w:szCs w:val="16"/>
          <w:color w:val="auto"/>
        </w:rPr>
        <w:t>FEE</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4240" w:type="dxa"/>
            <w:vAlign w:val="bottom"/>
          </w:tcPr>
          <w:p>
            <w:pPr>
              <w:spacing w:after="0"/>
              <w:rPr>
                <w:sz w:val="20"/>
                <w:szCs w:val="20"/>
                <w:color w:val="auto"/>
              </w:rPr>
            </w:pPr>
            <w:r>
              <w:rPr>
                <w:rFonts w:ascii="Courier New" w:cs="Courier New" w:eastAsia="Courier New" w:hAnsi="Courier New"/>
                <w:sz w:val="16"/>
                <w:szCs w:val="16"/>
                <w:color w:val="auto"/>
              </w:rPr>
              <w:t>Common Stock, $0.001 par value per share</w:t>
            </w: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$8,625,000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$923</w:t>
            </w:r>
          </w:p>
        </w:tc>
      </w:tr>
    </w:tbl>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jc w:val="both"/>
        <w:ind w:left="862" w:right="4280" w:hanging="862"/>
        <w:spacing w:after="0" w:line="271" w:lineRule="auto"/>
        <w:tabs>
          <w:tab w:leader="none" w:pos="86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which may be purchased to cover over-allotments, if any. The $8,625,000 proposed maximum aggregate offering price is in</w:t>
      </w:r>
    </w:p>
    <w:p>
      <w:pPr>
        <w:sectPr>
          <w:pgSz w:w="11900" w:h="16838" w:orient="portrait"/>
          <w:cols w:equalWidth="0" w:num="1">
            <w:col w:w="11522"/>
          </w:cols>
          <w:pgMar w:left="238" w:top="239" w:right="139" w:bottom="0" w:gutter="0" w:footer="0" w:header="0"/>
          <w:type w:val="continuous"/>
        </w:sectPr>
      </w:pPr>
    </w:p>
    <w:bookmarkStart w:id="1" w:name="page2"/>
    <w:bookmarkEnd w:id="1"/>
    <w:p>
      <w:pPr>
        <w:ind w:left="862" w:right="2679"/>
        <w:spacing w:after="0" w:line="241" w:lineRule="auto"/>
        <w:rPr>
          <w:sz w:val="20"/>
          <w:szCs w:val="20"/>
          <w:color w:val="auto"/>
        </w:rPr>
      </w:pPr>
      <w:r>
        <w:rPr>
          <w:rFonts w:ascii="Courier New" w:cs="Courier New" w:eastAsia="Courier New" w:hAnsi="Courier New"/>
          <w:sz w:val="16"/>
          <w:szCs w:val="16"/>
          <w:color w:val="auto"/>
        </w:rPr>
        <w:t>addition to the $69,000,000 proposed maximum aggregate offering price registered pursuant to the Registrant's Registration Statement on Form S-1 (File No. 333-121001). A registration fee was previously paid in connection with that Registration Statement.</w:t>
      </w:r>
    </w:p>
    <w:p>
      <w:pPr>
        <w:spacing w:after="0" w:line="6" w:lineRule="exact"/>
        <w:rPr>
          <w:sz w:val="20"/>
          <w:szCs w:val="20"/>
          <w:color w:val="auto"/>
        </w:rPr>
      </w:pPr>
    </w:p>
    <w:p>
      <w:pPr>
        <w:ind w:left="862" w:right="2599" w:hanging="862"/>
        <w:spacing w:after="0" w:line="239" w:lineRule="auto"/>
        <w:tabs>
          <w:tab w:leader="none" w:pos="86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457(o).</w:t>
      </w:r>
    </w:p>
    <w:p>
      <w:pPr>
        <w:spacing w:after="0" w:line="189" w:lineRule="exact"/>
        <w:rPr>
          <w:sz w:val="20"/>
          <w:szCs w:val="20"/>
          <w:color w:val="auto"/>
        </w:rPr>
      </w:pPr>
    </w:p>
    <w:p>
      <w:pPr>
        <w:ind w:left="2" w:right="2979" w:firstLine="477"/>
        <w:spacing w:after="0"/>
        <w:rPr>
          <w:sz w:val="20"/>
          <w:szCs w:val="20"/>
          <w:color w:val="auto"/>
        </w:rPr>
      </w:pPr>
      <w:r>
        <w:rPr>
          <w:rFonts w:ascii="Courier New" w:cs="Courier New" w:eastAsia="Courier New" w:hAnsi="Courier New"/>
          <w:sz w:val="16"/>
          <w:szCs w:val="16"/>
          <w:color w:val="auto"/>
        </w:rPr>
        <w:t>THIS REGISTRATION STATEMENT SHALL BECOME EFFECTIVE UPON FILING WITH THE SECURITIES AND EXCHANGE COMMISSION IN ACCORDANCE WITH RULE 462(B) UNDER THE SECURITIES ACT OF 1933, AS AMENDED.</w:t>
      </w:r>
    </w:p>
    <w:p>
      <w:pPr>
        <w:spacing w:after="0" w:line="6"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353"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ind w:left="3042"/>
        <w:spacing w:after="0"/>
        <w:rPr>
          <w:sz w:val="20"/>
          <w:szCs w:val="20"/>
          <w:color w:val="auto"/>
        </w:rPr>
      </w:pPr>
      <w:r>
        <w:rPr>
          <w:rFonts w:ascii="Courier New" w:cs="Courier New" w:eastAsia="Courier New" w:hAnsi="Courier New"/>
          <w:sz w:val="16"/>
          <w:szCs w:val="16"/>
          <w:color w:val="auto"/>
        </w:rPr>
        <w:t>EXPLANATORY NOTE</w:t>
      </w:r>
    </w:p>
    <w:p>
      <w:pPr>
        <w:spacing w:after="0" w:line="372" w:lineRule="exact"/>
        <w:rPr>
          <w:sz w:val="20"/>
          <w:szCs w:val="20"/>
          <w:color w:val="auto"/>
        </w:rPr>
      </w:pPr>
    </w:p>
    <w:p>
      <w:pPr>
        <w:ind w:left="2" w:right="2779" w:firstLine="858"/>
        <w:spacing w:after="0" w:line="242" w:lineRule="auto"/>
        <w:rPr>
          <w:sz w:val="20"/>
          <w:szCs w:val="20"/>
          <w:color w:val="auto"/>
        </w:rPr>
      </w:pPr>
      <w:r>
        <w:rPr>
          <w:rFonts w:ascii="Courier New" w:cs="Courier New" w:eastAsia="Courier New" w:hAnsi="Courier New"/>
          <w:sz w:val="16"/>
          <w:szCs w:val="16"/>
          <w:color w:val="auto"/>
        </w:rPr>
        <w:t>This registration statement is being filed pursuant to Rule 462(b) under the Securities Act of 1933, as amended ("Rule 462(b)"), and includes the registration statement facing page, this page, the signature page, an exhibit index and exhibits. Pursuant to Rule 462(b), the contents of the registration statement on Form S-1 (File No. 333-121001) of ExlService Holdings, Inc. (the "Registrant"), including the exhibits thereto, are incorporated by reference into this registration statement.</w:t>
      </w:r>
    </w:p>
    <w:p>
      <w:pPr>
        <w:spacing w:after="0" w:line="188" w:lineRule="exact"/>
        <w:rPr>
          <w:sz w:val="20"/>
          <w:szCs w:val="20"/>
          <w:color w:val="auto"/>
        </w:rPr>
      </w:pPr>
    </w:p>
    <w:p>
      <w:pPr>
        <w:ind w:left="2" w:right="2599" w:firstLine="763"/>
        <w:spacing w:after="0" w:line="242" w:lineRule="auto"/>
        <w:rPr>
          <w:sz w:val="20"/>
          <w:szCs w:val="20"/>
          <w:color w:val="auto"/>
        </w:rPr>
      </w:pPr>
      <w:r>
        <w:rPr>
          <w:rFonts w:ascii="Courier New" w:cs="Courier New" w:eastAsia="Courier New" w:hAnsi="Courier New"/>
          <w:sz w:val="16"/>
          <w:szCs w:val="16"/>
          <w:color w:val="auto"/>
        </w:rPr>
        <w:t>The Registrant hereby certifies that it (i) has instructed its bank to transmit to the Securities and Exchange Commission (the "Commission") the filing fee set forth on the cover page of this Registration Statement by a wire transfer of such amount to the Commission's account at Mellon Bank as soon as practicable (but no later than the close of business on October 20, 2006), (ii) will not revoke such instructions, (iii) has sufficient funds in the relevant account to cover the amount of such filing fee and (iv) will confirm receipt of such instructions by its bank during the bank's regular business hours no later than October 20, 2006.</w:t>
      </w:r>
    </w:p>
    <w:p>
      <w:pPr>
        <w:sectPr>
          <w:pgSz w:w="11900" w:h="16838" w:orient="portrait"/>
          <w:cols w:equalWidth="0" w:num="1">
            <w:col w:w="10221"/>
          </w:cols>
          <w:pgMar w:left="238" w:top="142" w:right="1440" w:bottom="1440" w:gutter="0" w:footer="0" w:header="0"/>
        </w:sectPr>
      </w:pPr>
    </w:p>
    <w:bookmarkStart w:id="2" w:name="page3"/>
    <w:bookmarkEnd w:id="2"/>
    <w:p>
      <w:pPr>
        <w:jc w:val="right"/>
        <w:ind w:right="2599"/>
        <w:spacing w:after="0"/>
        <w:rPr>
          <w:sz w:val="20"/>
          <w:szCs w:val="20"/>
          <w:color w:val="auto"/>
        </w:rPr>
      </w:pPr>
      <w:r>
        <w:rPr>
          <w:rFonts w:ascii="Courier New" w:cs="Courier New" w:eastAsia="Courier New" w:hAnsi="Courier New"/>
          <w:sz w:val="16"/>
          <w:szCs w:val="16"/>
          <w:color w:val="auto"/>
        </w:rPr>
        <w:t>3</w:t>
      </w:r>
    </w:p>
    <w:p>
      <w:pPr>
        <w:spacing w:after="0" w:line="369"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EXHIBITS AND FINANCIAL STATEMENT SCHEDULES.</w:t>
      </w:r>
    </w:p>
    <w:p>
      <w:pPr>
        <w:spacing w:after="0" w:line="200" w:lineRule="exact"/>
        <w:rPr>
          <w:sz w:val="20"/>
          <w:szCs w:val="20"/>
          <w:color w:val="auto"/>
        </w:rPr>
      </w:pPr>
    </w:p>
    <w:p>
      <w:pPr>
        <w:spacing w:after="0" w:line="355" w:lineRule="exact"/>
        <w:rPr>
          <w:sz w:val="20"/>
          <w:szCs w:val="20"/>
          <w:color w:val="auto"/>
        </w:rPr>
      </w:pPr>
    </w:p>
    <w:p>
      <w:pPr>
        <w:ind w:right="2599" w:firstLine="858"/>
        <w:spacing w:after="0" w:line="241" w:lineRule="auto"/>
        <w:rPr>
          <w:sz w:val="20"/>
          <w:szCs w:val="20"/>
          <w:color w:val="auto"/>
        </w:rPr>
      </w:pPr>
      <w:r>
        <w:rPr>
          <w:rFonts w:ascii="Courier New" w:cs="Courier New" w:eastAsia="Courier New" w:hAnsi="Courier New"/>
          <w:sz w:val="16"/>
          <w:szCs w:val="16"/>
          <w:color w:val="auto"/>
        </w:rPr>
        <w:t>All exhibits filed with or incorporated by reference in Registration Statement No. 333-121001 are incorporated by reference into, and shall be deemed to be a part of, this registration statement, except for the following, which are filed herewith.</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1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2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Description of Exhibit</w:t>
            </w:r>
          </w:p>
        </w:tc>
        <w:tc>
          <w:tcPr>
            <w:tcW w:w="96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67"/>
        </w:trPr>
        <w:tc>
          <w:tcPr>
            <w:tcW w:w="80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Opinion  of Paul,</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Weiss,</w:t>
            </w:r>
          </w:p>
        </w:tc>
        <w:tc>
          <w:tcPr>
            <w:tcW w:w="960" w:type="dxa"/>
            <w:vAlign w:val="bottom"/>
          </w:tcPr>
          <w:p>
            <w:pPr>
              <w:ind w:left="160"/>
              <w:spacing w:after="0"/>
              <w:rPr>
                <w:sz w:val="20"/>
                <w:szCs w:val="20"/>
                <w:color w:val="auto"/>
              </w:rPr>
            </w:pPr>
            <w:r>
              <w:rPr>
                <w:rFonts w:ascii="Courier New" w:cs="Courier New" w:eastAsia="Courier New" w:hAnsi="Courier New"/>
                <w:sz w:val="16"/>
                <w:szCs w:val="16"/>
                <w:color w:val="auto"/>
              </w:rPr>
              <w:t>Rifkind,</w:t>
            </w:r>
          </w:p>
        </w:tc>
        <w:tc>
          <w:tcPr>
            <w:tcW w:w="3380" w:type="dxa"/>
            <w:vAlign w:val="bottom"/>
          </w:tcPr>
          <w:p>
            <w:pPr>
              <w:ind w:left="140"/>
              <w:spacing w:after="0"/>
              <w:rPr>
                <w:sz w:val="20"/>
                <w:szCs w:val="20"/>
                <w:color w:val="auto"/>
              </w:rPr>
            </w:pPr>
            <w:r>
              <w:rPr>
                <w:rFonts w:ascii="Courier New" w:cs="Courier New" w:eastAsia="Courier New" w:hAnsi="Courier New"/>
                <w:sz w:val="16"/>
                <w:szCs w:val="16"/>
                <w:color w:val="auto"/>
                <w:w w:val="98"/>
              </w:rPr>
              <w:t>Wharton &amp;  Garrison  LLP as to the</w:t>
            </w:r>
          </w:p>
        </w:tc>
      </w:tr>
      <w:tr>
        <w:trPr>
          <w:trHeight w:val="183"/>
        </w:trPr>
        <w:tc>
          <w:tcPr>
            <w:tcW w:w="800" w:type="dxa"/>
            <w:vAlign w:val="bottom"/>
          </w:tcPr>
          <w:p>
            <w:pPr>
              <w:spacing w:after="0"/>
              <w:rPr>
                <w:sz w:val="15"/>
                <w:szCs w:val="15"/>
                <w:color w:val="auto"/>
              </w:rPr>
            </w:pPr>
          </w:p>
        </w:tc>
        <w:tc>
          <w:tcPr>
            <w:tcW w:w="682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legality of the shares registered hereunder.</w:t>
            </w:r>
          </w:p>
        </w:tc>
      </w:tr>
      <w:tr>
        <w:trPr>
          <w:trHeight w:val="367"/>
        </w:trPr>
        <w:tc>
          <w:tcPr>
            <w:tcW w:w="80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34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Consent of Ernst &amp; Young LLP.</w:t>
            </w:r>
          </w:p>
        </w:tc>
        <w:tc>
          <w:tcPr>
            <w:tcW w:w="3380" w:type="dxa"/>
            <w:vAlign w:val="bottom"/>
          </w:tcPr>
          <w:p>
            <w:pPr>
              <w:spacing w:after="0"/>
              <w:rPr>
                <w:sz w:val="24"/>
                <w:szCs w:val="24"/>
                <w:color w:val="auto"/>
              </w:rPr>
            </w:pPr>
          </w:p>
        </w:tc>
      </w:tr>
      <w:tr>
        <w:trPr>
          <w:trHeight w:val="367"/>
        </w:trPr>
        <w:tc>
          <w:tcPr>
            <w:tcW w:w="80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344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Consent of Russell Bedford Stefanou</w:t>
            </w:r>
          </w:p>
        </w:tc>
        <w:tc>
          <w:tcPr>
            <w:tcW w:w="3380" w:type="dxa"/>
            <w:vAlign w:val="bottom"/>
          </w:tcPr>
          <w:p>
            <w:pPr>
              <w:ind w:left="40"/>
              <w:spacing w:after="0"/>
              <w:rPr>
                <w:sz w:val="20"/>
                <w:szCs w:val="20"/>
                <w:color w:val="auto"/>
              </w:rPr>
            </w:pPr>
            <w:r>
              <w:rPr>
                <w:rFonts w:ascii="Courier New" w:cs="Courier New" w:eastAsia="Courier New" w:hAnsi="Courier New"/>
                <w:sz w:val="16"/>
                <w:szCs w:val="16"/>
                <w:color w:val="auto"/>
              </w:rPr>
              <w:t>Mirchandani LLP.</w:t>
            </w:r>
          </w:p>
        </w:tc>
      </w:tr>
      <w:tr>
        <w:trPr>
          <w:trHeight w:val="367"/>
        </w:trPr>
        <w:tc>
          <w:tcPr>
            <w:tcW w:w="80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Consent of Paul,</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Weiss,</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Rifkind,</w:t>
            </w:r>
          </w:p>
        </w:tc>
        <w:tc>
          <w:tcPr>
            <w:tcW w:w="3380" w:type="dxa"/>
            <w:vAlign w:val="bottom"/>
          </w:tcPr>
          <w:p>
            <w:pPr>
              <w:ind w:left="40"/>
              <w:spacing w:after="0"/>
              <w:rPr>
                <w:sz w:val="20"/>
                <w:szCs w:val="20"/>
                <w:color w:val="auto"/>
              </w:rPr>
            </w:pPr>
            <w:r>
              <w:rPr>
                <w:rFonts w:ascii="Courier New" w:cs="Courier New" w:eastAsia="Courier New" w:hAnsi="Courier New"/>
                <w:sz w:val="16"/>
                <w:szCs w:val="16"/>
                <w:color w:val="auto"/>
                <w:w w:val="98"/>
              </w:rPr>
              <w:t>Wharton &amp; Garrison LLP (included in</w:t>
            </w:r>
          </w:p>
        </w:tc>
      </w:tr>
      <w:tr>
        <w:trPr>
          <w:trHeight w:val="183"/>
        </w:trPr>
        <w:tc>
          <w:tcPr>
            <w:tcW w:w="800" w:type="dxa"/>
            <w:vAlign w:val="bottom"/>
          </w:tcPr>
          <w:p>
            <w:pPr>
              <w:spacing w:after="0"/>
              <w:rPr>
                <w:sz w:val="15"/>
                <w:szCs w:val="15"/>
                <w:color w:val="auto"/>
              </w:rPr>
            </w:pP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Exhibit 5.1).</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380" w:type="dxa"/>
            <w:vAlign w:val="bottom"/>
          </w:tcPr>
          <w:p>
            <w:pPr>
              <w:spacing w:after="0"/>
              <w:rPr>
                <w:sz w:val="15"/>
                <w:szCs w:val="15"/>
                <w:color w:val="auto"/>
              </w:rPr>
            </w:pPr>
          </w:p>
        </w:tc>
      </w:tr>
    </w:tbl>
    <w:p>
      <w:pPr>
        <w:spacing w:after="0" w:line="188" w:lineRule="exact"/>
        <w:rPr>
          <w:sz w:val="20"/>
          <w:szCs w:val="20"/>
          <w:color w:val="auto"/>
        </w:rPr>
      </w:pPr>
    </w:p>
    <w:p>
      <w:pPr>
        <w:jc w:val="both"/>
        <w:ind w:left="860" w:right="2599" w:hanging="857"/>
        <w:spacing w:after="0"/>
        <w:tabs>
          <w:tab w:leader="none" w:pos="84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Powers of Attorney (incorporated by reference to Exhibit 24.1 to the Registration Statement on Form S-1 of ExlService Holdings, Inc. (Registration No. 333-121001)).</w:t>
      </w:r>
    </w:p>
    <w:p>
      <w:pPr>
        <w:sectPr>
          <w:pgSz w:w="11900" w:h="16838" w:orient="portrait"/>
          <w:cols w:equalWidth="0" w:num="1">
            <w:col w:w="10219"/>
          </w:cols>
          <w:pgMar w:left="240" w:top="481" w:right="1440" w:bottom="1440" w:gutter="0" w:footer="0" w:header="0"/>
        </w:sectPr>
      </w:pPr>
    </w:p>
    <w:bookmarkStart w:id="3" w:name="page4"/>
    <w:bookmarkEnd w:id="3"/>
    <w:p>
      <w:pPr>
        <w:jc w:val="right"/>
        <w:ind w:right="2599"/>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Pursuant to the requirements of the Securities Act of 1933, the registrant has duly caused this registration statement to be signed on its behalf by the undersigned, thereunto duly authorized, in the City of New York, State of New York, on October 19, 2006.</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EXLSERVICE HOLDINGS, INC.</w:t>
      </w:r>
    </w:p>
    <w:p>
      <w:pPr>
        <w:spacing w:after="0" w:line="200" w:lineRule="exact"/>
        <w:rPr>
          <w:sz w:val="20"/>
          <w:szCs w:val="20"/>
          <w:color w:val="auto"/>
        </w:rPr>
      </w:pPr>
    </w:p>
    <w:p>
      <w:pPr>
        <w:spacing w:after="0" w:line="352" w:lineRule="exact"/>
        <w:rPr>
          <w:sz w:val="20"/>
          <w:szCs w:val="20"/>
          <w:color w:val="auto"/>
        </w:rPr>
      </w:pPr>
    </w:p>
    <w:p>
      <w:pPr>
        <w:ind w:left="3820"/>
        <w:spacing w:after="0"/>
        <w:tabs>
          <w:tab w:leader="none" w:pos="4260" w:val="left"/>
        </w:tabs>
        <w:rPr>
          <w:sz w:val="20"/>
          <w:szCs w:val="20"/>
          <w:color w:val="auto"/>
        </w:rPr>
      </w:pPr>
      <w:r>
        <w:rPr>
          <w:rFonts w:ascii="Courier New" w:cs="Courier New" w:eastAsia="Courier New" w:hAnsi="Courier New"/>
          <w:sz w:val="16"/>
          <w:szCs w:val="16"/>
          <w:color w:val="auto"/>
        </w:rPr>
        <w:t>By:</w:t>
        <w:tab/>
        <w:t>/s/ Vikram Talwar</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80"/>
        <w:spacing w:after="0"/>
        <w:tabs>
          <w:tab w:leader="none" w:pos="4940" w:val="left"/>
        </w:tabs>
        <w:rPr>
          <w:sz w:val="20"/>
          <w:szCs w:val="20"/>
          <w:color w:val="auto"/>
        </w:rPr>
      </w:pPr>
      <w:r>
        <w:rPr>
          <w:rFonts w:ascii="Courier New" w:cs="Courier New" w:eastAsia="Courier New" w:hAnsi="Courier New"/>
          <w:sz w:val="16"/>
          <w:szCs w:val="16"/>
          <w:color w:val="auto"/>
        </w:rPr>
        <w:t>Name:</w:t>
        <w:tab/>
        <w:t>Vikram Talwar</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Title: Chief Executive Officer and</w:t>
      </w:r>
    </w:p>
    <w:p>
      <w:pPr>
        <w:spacing w:after="0" w:line="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Director</w:t>
      </w:r>
    </w:p>
    <w:p>
      <w:pPr>
        <w:spacing w:after="0" w:line="372"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following capacities on the 19th day of October, 2006.</w:t>
      </w:r>
    </w:p>
    <w:p>
      <w:pPr>
        <w:sectPr>
          <w:pgSz w:w="11900" w:h="16838" w:orient="portrait"/>
          <w:cols w:equalWidth="0" w:num="1">
            <w:col w:w="10219"/>
          </w:cols>
          <w:pgMar w:left="240" w:top="481" w:right="1440" w:bottom="1440" w:gutter="0" w:footer="0" w:header="0"/>
        </w:sectPr>
      </w:pPr>
    </w:p>
    <w:p>
      <w:pPr>
        <w:spacing w:after="0" w:line="370"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4000" w:space="280"/>
            <w:col w:w="5939"/>
          </w:cols>
          <w:pgMar w:left="240" w:top="481" w:right="1440" w:bottom="1440" w:gutter="0" w:footer="0" w:header="0"/>
          <w:type w:val="continuous"/>
        </w:sect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VIKRAM TALWAR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and Director</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2">
            <w:col w:w="4000" w:space="280"/>
            <w:col w:w="5939"/>
          </w:cols>
          <w:pgMar w:left="240" w:top="481" w:right="1440" w:bottom="1440" w:gutter="0" w:footer="0" w:header="0"/>
          <w:type w:val="continuous"/>
        </w:sectPr>
      </w:pPr>
    </w:p>
    <w:p>
      <w:pPr>
        <w:spacing w:after="0" w:line="16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ROHIT KAPOOR</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Chief Financial Officer</w:t>
      </w:r>
    </w:p>
    <w:p>
      <w:pPr>
        <w:spacing w:after="0" w:line="1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and Director (Principal Financial</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and Accounting Officer)</w:t>
      </w:r>
    </w:p>
    <w:p>
      <w:pPr>
        <w:spacing w:after="0" w:line="200" w:lineRule="exact"/>
        <w:rPr>
          <w:sz w:val="20"/>
          <w:szCs w:val="20"/>
          <w:color w:val="auto"/>
        </w:rPr>
      </w:pPr>
    </w:p>
    <w:p>
      <w:pPr>
        <w:sectPr>
          <w:pgSz w:w="11900" w:h="16838" w:orient="portrait"/>
          <w:cols w:equalWidth="0" w:num="2">
            <w:col w:w="4000" w:space="280"/>
            <w:col w:w="5939"/>
          </w:cols>
          <w:pgMar w:left="240" w:top="481" w:right="1440" w:bottom="1440" w:gutter="0" w:footer="0" w:header="0"/>
          <w:type w:val="continuous"/>
        </w:sectPr>
      </w:pPr>
    </w:p>
    <w:p>
      <w:pPr>
        <w:spacing w:after="0" w:line="16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STEVEN B. GRUBER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194" w:lineRule="exact"/>
        <w:rPr>
          <w:sz w:val="20"/>
          <w:szCs w:val="20"/>
          <w:color w:val="auto"/>
        </w:rPr>
      </w:pPr>
    </w:p>
    <w:p>
      <w:pPr>
        <w:sectPr>
          <w:pgSz w:w="11900" w:h="16838" w:orient="portrait"/>
          <w:cols w:equalWidth="0" w:num="2">
            <w:col w:w="4000" w:space="100"/>
            <w:col w:w="6119"/>
          </w:cols>
          <w:pgMar w:left="240" w:top="481" w:right="1440" w:bottom="1440" w:gutter="0" w:footer="0" w:header="0"/>
          <w:type w:val="continuous"/>
        </w:sect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BRADFORD E. BERNSTEIN</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94" w:lineRule="exact"/>
        <w:rPr>
          <w:sz w:val="20"/>
          <w:szCs w:val="20"/>
          <w:color w:val="auto"/>
        </w:rPr>
      </w:pPr>
    </w:p>
    <w:p>
      <w:pPr>
        <w:sectPr>
          <w:pgSz w:w="11900" w:h="16838" w:orient="portrait"/>
          <w:cols w:equalWidth="0" w:num="2">
            <w:col w:w="4000" w:space="100"/>
            <w:col w:w="6119"/>
          </w:cols>
          <w:pgMar w:left="240" w:top="481" w:right="1440" w:bottom="1440" w:gutter="0" w:footer="0" w:header="0"/>
          <w:type w:val="continuous"/>
        </w:sect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EDWARD V. DARDANI</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94" w:lineRule="exact"/>
        <w:rPr>
          <w:sz w:val="20"/>
          <w:szCs w:val="20"/>
          <w:color w:val="auto"/>
        </w:rPr>
      </w:pPr>
    </w:p>
    <w:p>
      <w:pPr>
        <w:sectPr>
          <w:pgSz w:w="11900" w:h="16838" w:orient="portrait"/>
          <w:cols w:equalWidth="0" w:num="2">
            <w:col w:w="4000" w:space="100"/>
            <w:col w:w="6119"/>
          </w:cols>
          <w:pgMar w:left="240" w:top="481" w:right="1440" w:bottom="1440" w:gutter="0" w:footer="0" w:header="0"/>
          <w:type w:val="continuous"/>
        </w:sect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JAMES C. HALE, III</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94" w:lineRule="exact"/>
        <w:rPr>
          <w:sz w:val="20"/>
          <w:szCs w:val="20"/>
          <w:color w:val="auto"/>
        </w:rPr>
      </w:pPr>
    </w:p>
    <w:p>
      <w:pPr>
        <w:sectPr>
          <w:pgSz w:w="11900" w:h="16838" w:orient="portrait"/>
          <w:cols w:equalWidth="0" w:num="2">
            <w:col w:w="4000" w:space="100"/>
            <w:col w:w="6119"/>
          </w:cols>
          <w:pgMar w:left="240" w:top="481" w:right="1440" w:bottom="1440" w:gutter="0" w:footer="0" w:header="0"/>
          <w:type w:val="continuous"/>
        </w:sect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DAVID B. KELSO</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94" w:lineRule="exact"/>
        <w:rPr>
          <w:sz w:val="20"/>
          <w:szCs w:val="20"/>
          <w:color w:val="auto"/>
        </w:rPr>
      </w:pPr>
    </w:p>
    <w:p>
      <w:pPr>
        <w:sectPr>
          <w:pgSz w:w="11900" w:h="16838" w:orient="portrait"/>
          <w:cols w:equalWidth="0" w:num="2">
            <w:col w:w="4000" w:space="100"/>
            <w:col w:w="6119"/>
          </w:cols>
          <w:pgMar w:left="240" w:top="481" w:right="1440" w:bottom="1440" w:gutter="0" w:footer="0" w:header="0"/>
          <w:type w:val="continuous"/>
        </w:sect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DR. MOHANBIR SAWHNEY</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94" w:lineRule="exact"/>
        <w:rPr>
          <w:sz w:val="20"/>
          <w:szCs w:val="20"/>
          <w:color w:val="auto"/>
        </w:rPr>
      </w:pPr>
    </w:p>
    <w:p>
      <w:pPr>
        <w:sectPr>
          <w:pgSz w:w="11900" w:h="16838" w:orient="portrait"/>
          <w:cols w:equalWidth="0" w:num="2">
            <w:col w:w="4000" w:space="100"/>
            <w:col w:w="6119"/>
          </w:cols>
          <w:pgMar w:left="240" w:top="481" w:right="1440" w:bottom="1440" w:gutter="0" w:footer="0" w:header="0"/>
          <w:type w:val="continuous"/>
        </w:sect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GAREN K. STAGLIN</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8" w:lineRule="exact"/>
        <w:rPr>
          <w:sz w:val="20"/>
          <w:szCs w:val="20"/>
          <w:color w:val="auto"/>
        </w:rPr>
      </w:pPr>
    </w:p>
    <w:p>
      <w:pPr>
        <w:sectPr>
          <w:pgSz w:w="11900" w:h="16838" w:orient="portrait"/>
          <w:cols w:equalWidth="0" w:num="2">
            <w:col w:w="4000" w:space="100"/>
            <w:col w:w="6119"/>
          </w:cols>
          <w:pgMar w:left="240" w:top="481" w:right="1440" w:bottom="1440" w:gutter="0" w:footer="0" w:header="0"/>
          <w:type w:val="continuous"/>
        </w:sectPr>
      </w:pPr>
    </w:p>
    <w:p>
      <w:pPr>
        <w:spacing w:after="0" w:line="16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*By: /s/ Vikram Talwar</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Vikram Talwar, Attorney in Fact</w:t>
      </w:r>
    </w:p>
    <w:p>
      <w:pPr>
        <w:sectPr>
          <w:pgSz w:w="11900" w:h="16838" w:orient="portrait"/>
          <w:cols w:equalWidth="0" w:num="1">
            <w:col w:w="10219"/>
          </w:cols>
          <w:pgMar w:left="240" w:top="481" w:right="1440" w:bottom="1440" w:gutter="0" w:footer="0" w:header="0"/>
          <w:type w:val="continuous"/>
        </w:sectPr>
      </w:pPr>
    </w:p>
    <w:bookmarkStart w:id="4" w:name="page5"/>
    <w:bookmarkEnd w:id="4"/>
    <w:p>
      <w:pPr>
        <w:jc w:val="right"/>
        <w:ind w:right="2599"/>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INDEX TO EXHIBITS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1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2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Description of Exhibit</w:t>
            </w:r>
          </w:p>
        </w:tc>
        <w:tc>
          <w:tcPr>
            <w:tcW w:w="96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67"/>
        </w:trPr>
        <w:tc>
          <w:tcPr>
            <w:tcW w:w="80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Opinion  of Paul,</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Weiss,</w:t>
            </w:r>
          </w:p>
        </w:tc>
        <w:tc>
          <w:tcPr>
            <w:tcW w:w="960" w:type="dxa"/>
            <w:vAlign w:val="bottom"/>
          </w:tcPr>
          <w:p>
            <w:pPr>
              <w:ind w:left="160"/>
              <w:spacing w:after="0"/>
              <w:rPr>
                <w:sz w:val="20"/>
                <w:szCs w:val="20"/>
                <w:color w:val="auto"/>
              </w:rPr>
            </w:pPr>
            <w:r>
              <w:rPr>
                <w:rFonts w:ascii="Courier New" w:cs="Courier New" w:eastAsia="Courier New" w:hAnsi="Courier New"/>
                <w:sz w:val="16"/>
                <w:szCs w:val="16"/>
                <w:color w:val="auto"/>
              </w:rPr>
              <w:t>Rifkind,</w:t>
            </w:r>
          </w:p>
        </w:tc>
        <w:tc>
          <w:tcPr>
            <w:tcW w:w="3380" w:type="dxa"/>
            <w:vAlign w:val="bottom"/>
          </w:tcPr>
          <w:p>
            <w:pPr>
              <w:ind w:left="140"/>
              <w:spacing w:after="0"/>
              <w:rPr>
                <w:sz w:val="20"/>
                <w:szCs w:val="20"/>
                <w:color w:val="auto"/>
              </w:rPr>
            </w:pPr>
            <w:r>
              <w:rPr>
                <w:rFonts w:ascii="Courier New" w:cs="Courier New" w:eastAsia="Courier New" w:hAnsi="Courier New"/>
                <w:sz w:val="16"/>
                <w:szCs w:val="16"/>
                <w:color w:val="auto"/>
                <w:w w:val="98"/>
              </w:rPr>
              <w:t>Wharton &amp;  Garrison  LLP as to the</w:t>
            </w:r>
          </w:p>
        </w:tc>
      </w:tr>
      <w:tr>
        <w:trPr>
          <w:trHeight w:val="183"/>
        </w:trPr>
        <w:tc>
          <w:tcPr>
            <w:tcW w:w="800" w:type="dxa"/>
            <w:vAlign w:val="bottom"/>
          </w:tcPr>
          <w:p>
            <w:pPr>
              <w:spacing w:after="0"/>
              <w:rPr>
                <w:sz w:val="15"/>
                <w:szCs w:val="15"/>
                <w:color w:val="auto"/>
              </w:rPr>
            </w:pPr>
          </w:p>
        </w:tc>
        <w:tc>
          <w:tcPr>
            <w:tcW w:w="682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legality of the shares registered hereunder.</w:t>
            </w:r>
          </w:p>
        </w:tc>
      </w:tr>
      <w:tr>
        <w:trPr>
          <w:trHeight w:val="367"/>
        </w:trPr>
        <w:tc>
          <w:tcPr>
            <w:tcW w:w="80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34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Consent of Ernst &amp; Young LLP.</w:t>
            </w:r>
          </w:p>
        </w:tc>
        <w:tc>
          <w:tcPr>
            <w:tcW w:w="3380" w:type="dxa"/>
            <w:vAlign w:val="bottom"/>
          </w:tcPr>
          <w:p>
            <w:pPr>
              <w:spacing w:after="0"/>
              <w:rPr>
                <w:sz w:val="24"/>
                <w:szCs w:val="24"/>
                <w:color w:val="auto"/>
              </w:rPr>
            </w:pPr>
          </w:p>
        </w:tc>
      </w:tr>
      <w:tr>
        <w:trPr>
          <w:trHeight w:val="367"/>
        </w:trPr>
        <w:tc>
          <w:tcPr>
            <w:tcW w:w="80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344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Consent of Russell Bedford Stefanou</w:t>
            </w:r>
          </w:p>
        </w:tc>
        <w:tc>
          <w:tcPr>
            <w:tcW w:w="3380" w:type="dxa"/>
            <w:vAlign w:val="bottom"/>
          </w:tcPr>
          <w:p>
            <w:pPr>
              <w:ind w:left="40"/>
              <w:spacing w:after="0"/>
              <w:rPr>
                <w:sz w:val="20"/>
                <w:szCs w:val="20"/>
                <w:color w:val="auto"/>
              </w:rPr>
            </w:pPr>
            <w:r>
              <w:rPr>
                <w:rFonts w:ascii="Courier New" w:cs="Courier New" w:eastAsia="Courier New" w:hAnsi="Courier New"/>
                <w:sz w:val="16"/>
                <w:szCs w:val="16"/>
                <w:color w:val="auto"/>
              </w:rPr>
              <w:t>Mirchandani LLP.</w:t>
            </w:r>
          </w:p>
        </w:tc>
      </w:tr>
      <w:tr>
        <w:trPr>
          <w:trHeight w:val="367"/>
        </w:trPr>
        <w:tc>
          <w:tcPr>
            <w:tcW w:w="80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Consent of Paul,</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Weiss,</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Rifkind,</w:t>
            </w:r>
          </w:p>
        </w:tc>
        <w:tc>
          <w:tcPr>
            <w:tcW w:w="3380" w:type="dxa"/>
            <w:vAlign w:val="bottom"/>
          </w:tcPr>
          <w:p>
            <w:pPr>
              <w:ind w:left="40"/>
              <w:spacing w:after="0"/>
              <w:rPr>
                <w:sz w:val="20"/>
                <w:szCs w:val="20"/>
                <w:color w:val="auto"/>
              </w:rPr>
            </w:pPr>
            <w:r>
              <w:rPr>
                <w:rFonts w:ascii="Courier New" w:cs="Courier New" w:eastAsia="Courier New" w:hAnsi="Courier New"/>
                <w:sz w:val="16"/>
                <w:szCs w:val="16"/>
                <w:color w:val="auto"/>
                <w:w w:val="98"/>
              </w:rPr>
              <w:t>Wharton &amp; Garrison LLP (included in</w:t>
            </w:r>
          </w:p>
        </w:tc>
      </w:tr>
      <w:tr>
        <w:trPr>
          <w:trHeight w:val="183"/>
        </w:trPr>
        <w:tc>
          <w:tcPr>
            <w:tcW w:w="800" w:type="dxa"/>
            <w:vAlign w:val="bottom"/>
          </w:tcPr>
          <w:p>
            <w:pPr>
              <w:spacing w:after="0"/>
              <w:rPr>
                <w:sz w:val="15"/>
                <w:szCs w:val="15"/>
                <w:color w:val="auto"/>
              </w:rPr>
            </w:pPr>
          </w:p>
        </w:tc>
        <w:tc>
          <w:tcPr>
            <w:tcW w:w="1720" w:type="dxa"/>
            <w:vAlign w:val="bottom"/>
          </w:tcPr>
          <w:p>
            <w:pPr>
              <w:ind w:left="60"/>
              <w:spacing w:after="0"/>
              <w:rPr>
                <w:sz w:val="20"/>
                <w:szCs w:val="20"/>
                <w:color w:val="auto"/>
              </w:rPr>
            </w:pPr>
            <w:r>
              <w:rPr>
                <w:rFonts w:ascii="Courier New" w:cs="Courier New" w:eastAsia="Courier New" w:hAnsi="Courier New"/>
                <w:sz w:val="16"/>
                <w:szCs w:val="16"/>
                <w:color w:val="auto"/>
              </w:rPr>
              <w:t>Exhibit 5.1).</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380" w:type="dxa"/>
            <w:vAlign w:val="bottom"/>
          </w:tcPr>
          <w:p>
            <w:pPr>
              <w:spacing w:after="0"/>
              <w:rPr>
                <w:sz w:val="15"/>
                <w:szCs w:val="15"/>
                <w:color w:val="auto"/>
              </w:rPr>
            </w:pPr>
          </w:p>
        </w:tc>
      </w:tr>
    </w:tbl>
    <w:p>
      <w:pPr>
        <w:spacing w:after="0" w:line="188" w:lineRule="exact"/>
        <w:rPr>
          <w:sz w:val="20"/>
          <w:szCs w:val="20"/>
          <w:color w:val="auto"/>
        </w:rPr>
      </w:pPr>
    </w:p>
    <w:p>
      <w:pPr>
        <w:jc w:val="both"/>
        <w:ind w:left="860" w:right="2599" w:hanging="857"/>
        <w:spacing w:after="0"/>
        <w:tabs>
          <w:tab w:leader="none" w:pos="84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Powers of Attorney (incorporated by reference to Exhibit 24.1 to the Registration Statement on Form S-1 of ExlService Holdings, Inc. (Registration No. 333-121001)).</w:t>
      </w:r>
    </w:p>
    <w:p>
      <w:pPr>
        <w:sectPr>
          <w:pgSz w:w="11900" w:h="16838" w:orient="portrait"/>
          <w:cols w:equalWidth="0" w:num="1">
            <w:col w:w="10219"/>
          </w:cols>
          <w:pgMar w:left="240" w:top="481" w:right="1440" w:bottom="1440" w:gutter="0" w:footer="0" w:header="0"/>
        </w:sectPr>
      </w:pPr>
    </w:p>
    <w:bookmarkStart w:id="5" w:name="page6"/>
    <w:bookmarkEnd w:id="5"/>
    <w:p>
      <w:pPr>
        <w:jc w:val="right"/>
        <w:ind w:right="2679"/>
        <w:spacing w:after="0"/>
        <w:rPr>
          <w:sz w:val="20"/>
          <w:szCs w:val="20"/>
          <w:color w:val="auto"/>
        </w:rPr>
      </w:pPr>
      <w:r>
        <w:rPr>
          <w:rFonts w:ascii="Courier New" w:cs="Courier New" w:eastAsia="Courier New" w:hAnsi="Courier New"/>
          <w:sz w:val="16"/>
          <w:szCs w:val="16"/>
          <w:color w:val="auto"/>
        </w:rPr>
        <w:t>EXHIBIT 5.1</w:t>
      </w:r>
    </w:p>
    <w:p>
      <w:pPr>
        <w:spacing w:after="0" w:line="2" w:lineRule="exact"/>
        <w:rPr>
          <w:sz w:val="20"/>
          <w:szCs w:val="20"/>
          <w:color w:val="auto"/>
        </w:rPr>
      </w:pPr>
    </w:p>
    <w:p>
      <w:pPr>
        <w:ind w:left="6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October 19, 2006</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ExlService Holdings,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350 Park Avenue</w:t>
      </w:r>
    </w:p>
    <w:p>
      <w:pPr>
        <w:spacing w:after="0" w:line="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6"/>
          <w:szCs w:val="16"/>
          <w:color w:val="auto"/>
        </w:rPr>
        <w:t>New York, New York</w:t>
        <w:tab/>
        <w:t>10022</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Registration Statement on Form S-1</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jc w:val="both"/>
        <w:ind w:right="2679" w:firstLine="858"/>
        <w:spacing w:after="0" w:line="260" w:lineRule="auto"/>
        <w:rPr>
          <w:sz w:val="20"/>
          <w:szCs w:val="20"/>
          <w:color w:val="auto"/>
        </w:rPr>
      </w:pPr>
      <w:r>
        <w:rPr>
          <w:rFonts w:ascii="Courier New" w:cs="Courier New" w:eastAsia="Courier New" w:hAnsi="Courier New"/>
          <w:sz w:val="15"/>
          <w:szCs w:val="15"/>
          <w:color w:val="auto"/>
        </w:rPr>
        <w:t>In connection with the Registration Statement on Form S-1 (the "Registration Statement"), of ExlService Holdings, Inc., a Delaware corporation (the "Company"), filed today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 The Registration Statement and the related registration statement (Registration No. 333-121001) relate to the registration under the Act of up to 5,750,000 shares (the "Shares") of the Company's common stock, par value $0.001 per share (the "Common Stock"), that may be offered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00" w:type="dxa"/>
            <w:vAlign w:val="bottom"/>
          </w:tcPr>
          <w:p>
            <w:pPr>
              <w:spacing w:after="0"/>
              <w:rPr>
                <w:sz w:val="20"/>
                <w:szCs w:val="20"/>
                <w:color w:val="auto"/>
              </w:rPr>
            </w:pPr>
            <w:r>
              <w:rPr>
                <w:rFonts w:ascii="Courier New" w:cs="Courier New" w:eastAsia="Courier New" w:hAnsi="Courier New"/>
                <w:sz w:val="16"/>
                <w:szCs w:val="16"/>
                <w:color w:val="auto"/>
              </w:rPr>
              <w:t>ExlService Holdings, Inc.</w:t>
            </w:r>
          </w:p>
        </w:tc>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bl>
    <w:p>
      <w:pPr>
        <w:spacing w:after="0" w:line="372" w:lineRule="exact"/>
        <w:rPr>
          <w:sz w:val="20"/>
          <w:szCs w:val="20"/>
          <w:color w:val="auto"/>
        </w:rPr>
      </w:pPr>
    </w:p>
    <w:p>
      <w:pPr>
        <w:jc w:val="both"/>
        <w:ind w:right="2679"/>
        <w:spacing w:after="0" w:line="239" w:lineRule="auto"/>
        <w:rPr>
          <w:sz w:val="20"/>
          <w:szCs w:val="20"/>
          <w:color w:val="auto"/>
        </w:rPr>
      </w:pPr>
      <w:r>
        <w:rPr>
          <w:rFonts w:ascii="Courier New" w:cs="Courier New" w:eastAsia="Courier New" w:hAnsi="Courier New"/>
          <w:sz w:val="16"/>
          <w:szCs w:val="16"/>
          <w:color w:val="auto"/>
        </w:rPr>
        <w:t>by the Company (including shares issuable by the Company upon exercise of the underwriters' over-allotment option).</w:t>
      </w:r>
    </w:p>
    <w:p>
      <w:pPr>
        <w:spacing w:after="0" w:line="189" w:lineRule="exact"/>
        <w:rPr>
          <w:sz w:val="20"/>
          <w:szCs w:val="20"/>
          <w:color w:val="auto"/>
        </w:rPr>
      </w:pPr>
    </w:p>
    <w:p>
      <w:pPr>
        <w:jc w:val="both"/>
        <w:ind w:right="2679" w:firstLine="858"/>
        <w:spacing w:after="0"/>
        <w:rPr>
          <w:sz w:val="20"/>
          <w:szCs w:val="20"/>
          <w:color w:val="auto"/>
        </w:rPr>
      </w:pPr>
      <w:r>
        <w:rPr>
          <w:rFonts w:ascii="Courier New" w:cs="Courier New" w:eastAsia="Courier New" w:hAnsi="Courier New"/>
          <w:sz w:val="16"/>
          <w:szCs w:val="16"/>
          <w:color w:val="auto"/>
        </w:rPr>
        <w:t>In connection with the furnishing of this opinion, we have examined originals or copies certified or otherwise identified to our satisfaction, of the following documents (collectively, the "Documents"):</w:t>
      </w:r>
    </w:p>
    <w:p>
      <w:pPr>
        <w:spacing w:after="0" w:line="187" w:lineRule="exact"/>
        <w:rPr>
          <w:sz w:val="20"/>
          <w:szCs w:val="20"/>
          <w:color w:val="auto"/>
        </w:rPr>
      </w:pPr>
    </w:p>
    <w:p>
      <w:pPr>
        <w:ind w:left="1720" w:hanging="864"/>
        <w:spacing w:after="0"/>
        <w:tabs>
          <w:tab w:leader="none" w:pos="17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w:t>
      </w:r>
    </w:p>
    <w:p>
      <w:pPr>
        <w:spacing w:after="0" w:line="188" w:lineRule="exact"/>
        <w:rPr>
          <w:rFonts w:ascii="Courier New" w:cs="Courier New" w:eastAsia="Courier New" w:hAnsi="Courier New"/>
          <w:sz w:val="16"/>
          <w:szCs w:val="16"/>
          <w:color w:val="auto"/>
        </w:rPr>
      </w:pPr>
    </w:p>
    <w:p>
      <w:pPr>
        <w:ind w:right="2679" w:firstLine="856"/>
        <w:spacing w:after="0" w:line="239" w:lineRule="auto"/>
        <w:tabs>
          <w:tab w:leader="none" w:pos="171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form of the Underwriting Agreement (the "Underwriting Agreement") relating to the offering.</w:t>
      </w:r>
    </w:p>
    <w:p>
      <w:pPr>
        <w:spacing w:after="0" w:line="189" w:lineRule="exact"/>
        <w:rPr>
          <w:sz w:val="20"/>
          <w:szCs w:val="20"/>
          <w:color w:val="auto"/>
        </w:rPr>
      </w:pPr>
    </w:p>
    <w:p>
      <w:pPr>
        <w:jc w:val="both"/>
        <w:ind w:right="2679" w:firstLine="858"/>
        <w:spacing w:after="0" w:line="242" w:lineRule="auto"/>
        <w:rPr>
          <w:sz w:val="20"/>
          <w:szCs w:val="20"/>
          <w:color w:val="auto"/>
        </w:rPr>
      </w:pPr>
      <w:r>
        <w:rPr>
          <w:rFonts w:ascii="Courier New" w:cs="Courier New" w:eastAsia="Courier New" w:hAnsi="Courier New"/>
          <w:sz w:val="16"/>
          <w:szCs w:val="16"/>
          <w:color w:val="auto"/>
        </w:rPr>
        <w:t>In addition, we have examined (i) such corporate records of the Company that we have considered appropriate, including a copy of the amended and restated certificate of incorporation and by-laws, as amended, of the Company, certified by the Company as in effect on the date of this letter, and copies of resolutions of the board of directors of the Company relating to the issuance of the Shares, certified by the Company and (ii) such other certificates, agreements and documents that we deemed relevant and necessary as a basis for our opinion expressed below. We have also relied upon the factual matters contained in the representations and warranties of the Company made in the Documents and upon certificates of public officials and the officers of the Company.</w:t>
      </w:r>
    </w:p>
    <w:p>
      <w:pPr>
        <w:spacing w:after="0" w:line="191" w:lineRule="exact"/>
        <w:rPr>
          <w:sz w:val="20"/>
          <w:szCs w:val="20"/>
          <w:color w:val="auto"/>
        </w:rPr>
      </w:pPr>
    </w:p>
    <w:p>
      <w:pPr>
        <w:jc w:val="both"/>
        <w:ind w:right="2679" w:firstLine="858"/>
        <w:spacing w:after="0" w:line="242" w:lineRule="auto"/>
        <w:rPr>
          <w:sz w:val="20"/>
          <w:szCs w:val="20"/>
          <w:color w:val="auto"/>
        </w:rPr>
      </w:pPr>
      <w:r>
        <w:rPr>
          <w:rFonts w:ascii="Courier New" w:cs="Courier New" w:eastAsia="Courier New" w:hAnsi="Courier New"/>
          <w:sz w:val="16"/>
          <w:szCs w:val="16"/>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w:t>
      </w:r>
    </w:p>
    <w:p>
      <w:pPr>
        <w:sectPr>
          <w:pgSz w:w="11900" w:h="16838" w:orient="portrait"/>
          <w:cols w:equalWidth="0" w:num="1">
            <w:col w:w="10219"/>
          </w:cols>
          <w:pgMar w:left="240" w:top="13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4900" w:type="dxa"/>
            <w:vAlign w:val="bottom"/>
          </w:tcPr>
          <w:p>
            <w:pPr>
              <w:spacing w:after="0"/>
              <w:rPr>
                <w:sz w:val="20"/>
                <w:szCs w:val="20"/>
                <w:color w:val="auto"/>
              </w:rPr>
            </w:pPr>
            <w:r>
              <w:rPr>
                <w:rFonts w:ascii="Courier New" w:cs="Courier New" w:eastAsia="Courier New" w:hAnsi="Courier New"/>
                <w:sz w:val="16"/>
                <w:szCs w:val="16"/>
                <w:color w:val="auto"/>
              </w:rPr>
              <w:t>ExlService Holdings, Inc.</w:t>
            </w:r>
          </w:p>
        </w:tc>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bl>
    <w:p>
      <w:pPr>
        <w:spacing w:after="0" w:line="372" w:lineRule="exact"/>
        <w:rPr>
          <w:sz w:val="20"/>
          <w:szCs w:val="20"/>
          <w:color w:val="auto"/>
        </w:rPr>
      </w:pPr>
    </w:p>
    <w:p>
      <w:pPr>
        <w:jc w:val="both"/>
        <w:ind w:right="2679"/>
        <w:spacing w:after="0" w:line="242" w:lineRule="auto"/>
        <w:rPr>
          <w:sz w:val="20"/>
          <w:szCs w:val="20"/>
          <w:color w:val="auto"/>
        </w:rPr>
      </w:pPr>
      <w:r>
        <w:rPr>
          <w:rFonts w:ascii="Courier New" w:cs="Courier New" w:eastAsia="Courier New" w:hAnsi="Courier New"/>
          <w:sz w:val="16"/>
          <w:szCs w:val="16"/>
          <w:color w:val="auto"/>
        </w:rPr>
        <w:t>valid existing agreements or other documents, the authenticity of all the latter documents and that the statements regarding matters of fact in the certificates, records, agreements, instruments and documents that we have examined are accurate and complete. We have also assumed that the amended and restated certificate of incorporation and by-laws of the Company will be validly adopted in the forms reviewed by us and that the amended and restated certificate of incorporation will be duly filed with the Secretary of State of the State of Delaware.</w:t>
      </w:r>
    </w:p>
    <w:p>
      <w:pPr>
        <w:spacing w:after="0" w:line="189" w:lineRule="exact"/>
        <w:rPr>
          <w:sz w:val="20"/>
          <w:szCs w:val="20"/>
          <w:color w:val="auto"/>
        </w:rPr>
      </w:pPr>
    </w:p>
    <w:p>
      <w:pPr>
        <w:jc w:val="both"/>
        <w:ind w:right="2679" w:firstLine="858"/>
        <w:spacing w:after="0" w:line="242" w:lineRule="auto"/>
        <w:rPr>
          <w:sz w:val="20"/>
          <w:szCs w:val="20"/>
          <w:color w:val="auto"/>
        </w:rPr>
      </w:pPr>
      <w:r>
        <w:rPr>
          <w:rFonts w:ascii="Courier New" w:cs="Courier New" w:eastAsia="Courier New" w:hAnsi="Courier New"/>
          <w:sz w:val="16"/>
          <w:szCs w:val="16"/>
          <w:color w:val="auto"/>
        </w:rPr>
        <w:t>Based upon the above, and subject to the stated assumptions, exceptions and qualifications, we are of the opinion that the Shares have been duly authorized by all necessary corporate action on the part of the Company and, when issued, delivered and paid for as contemplated in the Registration Statement and in accordance with the terms of the Underwriting Agreement, the Shares will be validly issued, fully paid and non-assessable.</w:t>
      </w:r>
    </w:p>
    <w:p>
      <w:pPr>
        <w:spacing w:after="0" w:line="187" w:lineRule="exact"/>
        <w:rPr>
          <w:sz w:val="20"/>
          <w:szCs w:val="20"/>
          <w:color w:val="auto"/>
        </w:rPr>
      </w:pPr>
    </w:p>
    <w:p>
      <w:pPr>
        <w:jc w:val="both"/>
        <w:ind w:right="2679" w:firstLine="858"/>
        <w:spacing w:after="0" w:line="241" w:lineRule="auto"/>
        <w:rPr>
          <w:sz w:val="20"/>
          <w:szCs w:val="20"/>
          <w:color w:val="auto"/>
        </w:rPr>
      </w:pPr>
      <w:r>
        <w:rPr>
          <w:rFonts w:ascii="Courier New" w:cs="Courier New" w:eastAsia="Courier New" w:hAnsi="Courier New"/>
          <w:sz w:val="16"/>
          <w:szCs w:val="16"/>
          <w:color w:val="auto"/>
        </w:rPr>
        <w:t>The opinion expressed above is limited to the General Corporation Law of the State of Delaware. Our opinion is rendered only with respect to the laws, and the rules, regulations, orders and applicable judicial and regulatory determinations under those laws, that are currently in effect.</w:t>
      </w:r>
    </w:p>
    <w:p>
      <w:pPr>
        <w:spacing w:after="0" w:line="189" w:lineRule="exact"/>
        <w:rPr>
          <w:sz w:val="20"/>
          <w:szCs w:val="20"/>
          <w:color w:val="auto"/>
        </w:rPr>
      </w:pPr>
    </w:p>
    <w:p>
      <w:pPr>
        <w:jc w:val="both"/>
        <w:ind w:right="2679" w:firstLine="858"/>
        <w:spacing w:after="0" w:line="242" w:lineRule="auto"/>
        <w:rPr>
          <w:sz w:val="20"/>
          <w:szCs w:val="20"/>
          <w:color w:val="auto"/>
        </w:rPr>
      </w:pPr>
      <w:r>
        <w:rPr>
          <w:rFonts w:ascii="Courier New" w:cs="Courier New" w:eastAsia="Courier New" w:hAnsi="Courier New"/>
          <w:sz w:val="16"/>
          <w:szCs w:val="16"/>
          <w:color w:val="auto"/>
        </w:rPr>
        <w:t>We hereby consent to use of this opinion as an exhibit to the Registration Statement and to the use of our name under the heading "Legal Matters" contained in the prospectus incorporated by reference in the Registration Statement. In giving this consent, we do not thereby admit that we come within the category of persons whose consent is required by the Act or the Rules.</w:t>
      </w:r>
    </w:p>
    <w:p>
      <w:pPr>
        <w:sectPr>
          <w:pgSz w:w="11900" w:h="16838" w:orient="portrait"/>
          <w:cols w:equalWidth="0" w:num="1">
            <w:col w:w="10219"/>
          </w:cols>
          <w:pgMar w:left="240" w:top="481" w:right="1440" w:bottom="1440" w:gutter="0" w:footer="0" w:header="0"/>
        </w:sectPr>
      </w:pPr>
    </w:p>
    <w:bookmarkStart w:id="7" w:name="page8"/>
    <w:bookmarkEnd w:id="7"/>
    <w:p>
      <w:pPr>
        <w:spacing w:after="0"/>
        <w:tabs>
          <w:tab w:leader="none" w:pos="7420" w:val="left"/>
        </w:tabs>
        <w:rPr>
          <w:sz w:val="20"/>
          <w:szCs w:val="20"/>
          <w:color w:val="auto"/>
        </w:rPr>
      </w:pPr>
      <w:r>
        <w:rPr>
          <w:rFonts w:ascii="Courier New" w:cs="Courier New" w:eastAsia="Courier New" w:hAnsi="Courier New"/>
          <w:sz w:val="16"/>
          <w:szCs w:val="16"/>
          <w:color w:val="auto"/>
        </w:rPr>
        <w:t>ExlService Holdings, Inc.</w:t>
      </w:r>
      <w:r>
        <w:rPr>
          <w:sz w:val="20"/>
          <w:szCs w:val="20"/>
          <w:color w:val="auto"/>
        </w:rPr>
        <w:tab/>
      </w:r>
      <w:r>
        <w:rPr>
          <w:rFonts w:ascii="Courier New" w:cs="Courier New" w:eastAsia="Courier New" w:hAnsi="Courier New"/>
          <w:sz w:val="16"/>
          <w:szCs w:val="16"/>
          <w:color w:val="auto"/>
        </w:rPr>
        <w:t>4</w:t>
      </w:r>
    </w:p>
    <w:p>
      <w:pPr>
        <w:sectPr>
          <w:pgSz w:w="11900" w:h="16838" w:orient="portrait"/>
          <w:cols w:equalWidth="0" w:num="1">
            <w:col w:w="10219"/>
          </w:cols>
          <w:pgMar w:left="240" w:top="481"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Very truly yours,</w:t>
      </w:r>
    </w:p>
    <w:p>
      <w:pPr>
        <w:spacing w:after="0" w:line="37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 Paul, Weiss, Rifkind, Wharton &amp; Garrison LLP</w:t>
      </w:r>
    </w:p>
    <w:p>
      <w:pPr>
        <w:spacing w:after="0" w:line="377"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PAUL, WEISS, RIFKIND, WHARTON &amp; GARRISON LLP</w:t>
      </w:r>
    </w:p>
    <w:p>
      <w:pPr>
        <w:sectPr>
          <w:pgSz w:w="11900" w:h="16838" w:orient="portrait"/>
          <w:cols w:equalWidth="0" w:num="1">
            <w:col w:w="10219"/>
          </w:cols>
          <w:pgMar w:left="240" w:top="481" w:right="1440" w:bottom="1440" w:gutter="0" w:footer="0" w:header="0"/>
          <w:type w:val="continuous"/>
        </w:sectPr>
      </w:pPr>
    </w:p>
    <w:bookmarkStart w:id="8" w:name="page9"/>
    <w:bookmarkEnd w:id="8"/>
    <w:p>
      <w:pPr>
        <w:jc w:val="right"/>
        <w:ind w:right="2599"/>
        <w:spacing w:after="0"/>
        <w:rPr>
          <w:sz w:val="20"/>
          <w:szCs w:val="20"/>
          <w:color w:val="auto"/>
        </w:rPr>
      </w:pPr>
      <w:r>
        <w:rPr>
          <w:rFonts w:ascii="Courier New" w:cs="Courier New" w:eastAsia="Courier New" w:hAnsi="Courier New"/>
          <w:sz w:val="16"/>
          <w:szCs w:val="16"/>
          <w:color w:val="auto"/>
        </w:rPr>
        <w:t>EXHIBIT 23.1</w:t>
      </w:r>
    </w:p>
    <w:p>
      <w:pPr>
        <w:spacing w:after="0" w:line="5"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INDEPENDENT REGISTERED PUBLIC ACCOUNTING FIRM</w:t>
      </w:r>
    </w:p>
    <w:p>
      <w:pPr>
        <w:spacing w:after="0" w:line="372"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S-1) dated October 19, 2006 of our reports dated February 15, 2005 with respect to the consolidated financial statements and schedule of ExlService Holdings, Inc. included in Amendment No. 6 to the Registration Statement (Form S-1 No. 333-121001) and to the reference therein to our firm under the caption "Experts."</w:t>
      </w:r>
    </w:p>
    <w:p>
      <w:pPr>
        <w:spacing w:after="0" w:line="184"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/s/ ERNST &amp; YOUNG LLP</w:t>
      </w:r>
    </w:p>
    <w:p>
      <w:pPr>
        <w:spacing w:after="0" w:line="2"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19, 2006</w:t>
      </w:r>
    </w:p>
    <w:p>
      <w:pPr>
        <w:sectPr>
          <w:pgSz w:w="11900" w:h="16838" w:orient="portrait"/>
          <w:cols w:equalWidth="0" w:num="1">
            <w:col w:w="10219"/>
          </w:cols>
          <w:pgMar w:left="240" w:top="139" w:right="1440" w:bottom="1440" w:gutter="0" w:footer="0" w:header="0"/>
        </w:sectPr>
      </w:pPr>
    </w:p>
    <w:bookmarkStart w:id="9" w:name="page10"/>
    <w:bookmarkEnd w:id="9"/>
    <w:p>
      <w:pPr>
        <w:jc w:val="right"/>
        <w:ind w:right="2599"/>
        <w:spacing w:after="0"/>
        <w:rPr>
          <w:sz w:val="20"/>
          <w:szCs w:val="20"/>
          <w:color w:val="auto"/>
        </w:rPr>
      </w:pPr>
      <w:r>
        <w:rPr>
          <w:rFonts w:ascii="Courier New" w:cs="Courier New" w:eastAsia="Courier New" w:hAnsi="Courier New"/>
          <w:sz w:val="16"/>
          <w:szCs w:val="16"/>
          <w:color w:val="auto"/>
        </w:rPr>
        <w:t>EXHIBIT 23.2</w:t>
      </w:r>
    </w:p>
    <w:p>
      <w:pPr>
        <w:spacing w:after="0" w:line="5"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CONSENT OF INDEPENDENT REGISTERED PUBLIC ACCOUNTING FIRM</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Inductis, Inc.</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As independent certified public accountants, we hereby consent to the incorporation by reference in the Registration Statement (Form S-1) dated October 19, 2006 of our report dated May 22, 2006 , except for note 23(b) which is dated June 18, 2006, with respect to the consolidated financial statements of Inductis, Inc. included in Amendment No. 6 to the Registration Statement (Form S-1 No. 333-121001) and to the reference therein to our firm under the caption "Experts."</w:t>
      </w:r>
    </w:p>
    <w:p>
      <w:pPr>
        <w:spacing w:after="0" w:line="200" w:lineRule="exact"/>
        <w:rPr>
          <w:sz w:val="20"/>
          <w:szCs w:val="20"/>
          <w:color w:val="auto"/>
        </w:rPr>
      </w:pPr>
    </w:p>
    <w:p>
      <w:pPr>
        <w:spacing w:after="0" w:line="35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 Russell Bedford Stefanou Mirchandani LLP</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Russell Bedford Stefanou Mirchandani LLP</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19, 2006</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2019-12-15T11:11:59Z</dcterms:created>
  <dcterms:modified xsi:type="dcterms:W3CDTF">2019-12-15T11:11:59Z</dcterms:modified>
</cp:coreProperties>
</file>