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577898.xml.htm"/>
      <w:bookmarkStart w:id="1" w:name="kswkform4_178457789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Mehta Kamini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EXLSERVICE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320 PARK AVENUE, 29TH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ExlService Holdings, Inc.</w:t>
              </w:r>
            </w:hyperlink>
            <w:r>
              <w:rPr/>
              <w:t xml:space="preserve"> [ </w:t>
            </w:r>
            <w:r>
              <w:rPr>
                <w:rFonts w:ascii="Times;serif" w:hAnsi="Times;serif"/>
                <w:color w:val="0000FF"/>
                <w:sz w:val="24"/>
                <w:shd w:fill="FFFFFF" w:val="clear"/>
              </w:rPr>
              <w:t>EXLS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7,705</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$0.001 per share</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7,705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7,705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the Company's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2025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Mr. Ayyappan is the Company's General Counsel.</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Ajay Ayyappan,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6230" TargetMode="External"/><Relationship Id="rId5" Type="http://schemas.openxmlformats.org/officeDocument/2006/relationships/hyperlink" Target="http://www.sec.gov/cgi-bin/browse-edgar?action=getcompany&amp;CIK=00012979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759</Words>
  <Characters>4003</Characters>
  <CharactersWithSpaces>4688</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