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Date of Report (Date of earliest event reported): August 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56" w:lineRule="exact"/>
        <w:rPr>
          <w:sz w:val="24"/>
          <w:szCs w:val="24"/>
          <w:color w:val="auto"/>
        </w:rPr>
      </w:pPr>
    </w:p>
    <w:p>
      <w:pPr>
        <w:sectPr>
          <w:pgSz w:w="11900" w:h="16838" w:orient="portrait"/>
          <w:cols w:equalWidth="0" w:num="3">
            <w:col w:w="4740" w:space="720"/>
            <w:col w:w="3000" w:space="720"/>
            <w:col w:w="1420"/>
          </w:cols>
          <w:pgMar w:left="240" w:top="355" w:right="105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540"/>
          </w:cols>
          <w:pgMar w:left="240" w:top="355"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39"/>
        <w:spacing w:after="0"/>
        <w:rPr>
          <w:sz w:val="20"/>
          <w:szCs w:val="20"/>
          <w:color w:val="auto"/>
        </w:rPr>
      </w:pPr>
      <w:r>
        <w:rPr>
          <w:rFonts w:ascii="Arial" w:cs="Arial" w:eastAsia="Arial" w:hAnsi="Arial"/>
          <w:sz w:val="15"/>
          <w:szCs w:val="15"/>
          <w:b w:val="1"/>
          <w:bCs w:val="1"/>
          <w:color w:val="auto"/>
        </w:rPr>
        <w:t>Registrant’s telephone number, including area code: (212) 277-7100</w:t>
      </w:r>
    </w:p>
    <w:p>
      <w:pPr>
        <w:spacing w:after="0" w:line="20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p>
      <w:pPr>
        <w:spacing w:after="0" w:line="200" w:lineRule="exact"/>
        <w:rPr>
          <w:sz w:val="24"/>
          <w:szCs w:val="24"/>
          <w:color w:val="auto"/>
        </w:rPr>
      </w:pPr>
    </w:p>
    <w:p>
      <w:pPr>
        <w:spacing w:after="0" w:line="2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August 8, 2007, ExlService Holdings, Inc. (the “Company”) reported its results of operations for the six months ended June 30, 2007. A copy of the press release issued by the Company concerning the foregoing is furnished herewith as Exhibit 99.1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460"/>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8, 2007</w:t>
      </w:r>
    </w:p>
    <w:p>
      <w:pPr>
        <w:sectPr>
          <w:pgSz w:w="11900" w:h="16838" w:orient="portrait"/>
          <w:cols w:equalWidth="0" w:num="1">
            <w:col w:w="11100"/>
          </w:cols>
          <w:pgMar w:left="240" w:top="274"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(Registrant)</w:t>
            </w:r>
          </w:p>
        </w:tc>
      </w:tr>
      <w:tr>
        <w:trPr>
          <w:trHeight w:val="428"/>
        </w:trPr>
        <w:tc>
          <w:tcPr>
            <w:tcW w:w="3500" w:type="dxa"/>
            <w:vAlign w:val="bottom"/>
          </w:tcPr>
          <w:p>
            <w:pPr>
              <w:spacing w:after="0"/>
              <w:rPr>
                <w:sz w:val="20"/>
                <w:szCs w:val="20"/>
                <w:color w:val="auto"/>
              </w:rPr>
            </w:pPr>
            <w:r>
              <w:rPr>
                <w:rFonts w:ascii="Arial" w:cs="Arial" w:eastAsia="Arial" w:hAnsi="Arial"/>
                <w:sz w:val="18"/>
                <w:szCs w:val="18"/>
                <w:color w:val="auto"/>
              </w:rPr>
              <w:t>Date: August 8, 2007</w:t>
            </w:r>
          </w:p>
        </w:tc>
        <w:tc>
          <w:tcPr>
            <w:tcW w:w="2560" w:type="dxa"/>
            <w:vAlign w:val="bottom"/>
          </w:tcPr>
          <w:p>
            <w:pPr>
              <w:ind w:left="19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Appel</w:t>
            </w:r>
          </w:p>
        </w:tc>
      </w:tr>
      <w:tr>
        <w:trPr>
          <w:trHeight w:val="215"/>
        </w:trPr>
        <w:tc>
          <w:tcPr>
            <w:tcW w:w="3500" w:type="dxa"/>
            <w:vAlign w:val="bottom"/>
          </w:tcPr>
          <w:p>
            <w:pPr>
              <w:spacing w:after="0"/>
              <w:rPr>
                <w:sz w:val="18"/>
                <w:szCs w:val="18"/>
                <w:color w:val="auto"/>
              </w:rPr>
            </w:pPr>
          </w:p>
        </w:tc>
        <w:tc>
          <w:tcPr>
            <w:tcW w:w="2560" w:type="dxa"/>
            <w:vAlign w:val="bottom"/>
          </w:tcPr>
          <w:p>
            <w:pPr>
              <w:ind w:left="198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Matthew Appel</w:t>
            </w:r>
          </w:p>
        </w:tc>
      </w:tr>
      <w:tr>
        <w:trPr>
          <w:trHeight w:val="222"/>
        </w:trPr>
        <w:tc>
          <w:tcPr>
            <w:tcW w:w="3500" w:type="dxa"/>
            <w:vAlign w:val="bottom"/>
          </w:tcPr>
          <w:p>
            <w:pPr>
              <w:spacing w:after="0"/>
              <w:rPr>
                <w:sz w:val="19"/>
                <w:szCs w:val="19"/>
                <w:color w:val="auto"/>
              </w:rPr>
            </w:pPr>
          </w:p>
        </w:tc>
        <w:tc>
          <w:tcPr>
            <w:tcW w:w="2560" w:type="dxa"/>
            <w:vAlign w:val="bottom"/>
          </w:tcPr>
          <w:p>
            <w:pPr>
              <w:ind w:left="198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209"/>
        </w:trPr>
        <w:tc>
          <w:tcPr>
            <w:tcW w:w="820" w:type="dxa"/>
            <w:vAlign w:val="bottom"/>
          </w:tcPr>
          <w:p>
            <w:pPr>
              <w:spacing w:after="0" w:line="202"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Press Release, dated August 8, 2007</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71525" cy="840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350 Park Avenue</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New York, NY 10022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ectPr>
          <w:pgSz w:w="11900" w:h="16838" w:orient="portrait"/>
          <w:cols w:equalWidth="0" w:num="1">
            <w:col w:w="11420"/>
          </w:cols>
          <w:pgMar w:left="240" w:top="125"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ExlService Holdings, Inc.</w:t>
      </w:r>
    </w:p>
    <w:p>
      <w:pPr>
        <w:spacing w:after="0" w:line="32" w:lineRule="exact"/>
        <w:rPr>
          <w:sz w:val="20"/>
          <w:szCs w:val="20"/>
          <w:color w:val="auto"/>
        </w:rPr>
      </w:pPr>
    </w:p>
    <w:p>
      <w:pPr>
        <w:ind w:right="5835"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Press</w:t>
      </w:r>
      <w:r>
        <w:rPr>
          <w:rFonts w:ascii="Arial" w:cs="Arial" w:eastAsia="Arial" w:hAnsi="Arial"/>
          <w:sz w:val="16"/>
          <w:szCs w:val="16"/>
          <w:color w:val="auto"/>
        </w:rPr>
        <w:t>: Kerry Kelly-Guiliano</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8"/>
          <w:szCs w:val="18"/>
          <w:color w:val="auto"/>
        </w:rPr>
        <w:t>Financial Dynamics</w:t>
      </w:r>
    </w:p>
    <w:p>
      <w:pPr>
        <w:spacing w:after="0" w:line="9" w:lineRule="exact"/>
        <w:rPr>
          <w:sz w:val="20"/>
          <w:szCs w:val="20"/>
          <w:color w:val="auto"/>
        </w:rPr>
      </w:pPr>
    </w:p>
    <w:p>
      <w:pPr>
        <w:ind w:left="5" w:right="1900" w:hanging="5"/>
        <w:spacing w:after="0" w:line="323" w:lineRule="auto"/>
        <w:tabs>
          <w:tab w:leader="none" w:pos="42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747-3603 </w:t>
      </w:r>
      <w:r>
        <w:rPr>
          <w:rFonts w:ascii="Arial" w:cs="Arial" w:eastAsia="Arial" w:hAnsi="Arial"/>
          <w:sz w:val="16"/>
          <w:szCs w:val="16"/>
          <w:u w:val="single" w:color="auto"/>
          <w:color w:val="auto"/>
        </w:rPr>
        <w:t>kerry.guiliano@fd.com</w:t>
      </w:r>
    </w:p>
    <w:p>
      <w:pPr>
        <w:spacing w:after="0" w:line="416" w:lineRule="exact"/>
        <w:rPr>
          <w:sz w:val="20"/>
          <w:szCs w:val="20"/>
          <w:color w:val="auto"/>
        </w:rPr>
      </w:pPr>
    </w:p>
    <w:p>
      <w:pPr>
        <w:sectPr>
          <w:pgSz w:w="11900" w:h="16838" w:orient="portrait"/>
          <w:cols w:equalWidth="0" w:num="2">
            <w:col w:w="7175" w:space="720"/>
            <w:col w:w="3525"/>
          </w:cols>
          <w:pgMar w:left="240" w:top="125" w:right="239" w:bottom="1440" w:gutter="0" w:footer="0" w:header="0"/>
          <w:type w:val="continuous"/>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2007 SECOND QUARTER RESULTS</w:t>
      </w:r>
    </w:p>
    <w:p>
      <w:pPr>
        <w:spacing w:after="0" w:line="177"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New York, NY – August 8, 2007 – ExlService Holdings, Inc. (NASDAQ: EXLS), a recognized provider of offshore solutions, including business process outsourcing, research and analytics and advisory services, today announced its financial results for the quarter ended June 30, 2007.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highlights for the second quarter of 2007 include:</w:t>
      </w:r>
    </w:p>
    <w:p>
      <w:pPr>
        <w:spacing w:after="0" w:line="84" w:lineRule="exact"/>
        <w:rPr>
          <w:sz w:val="20"/>
          <w:szCs w:val="20"/>
          <w:color w:val="auto"/>
        </w:rPr>
      </w:pPr>
    </w:p>
    <w:p>
      <w:pPr>
        <w:ind w:left="900" w:right="640" w:hanging="325"/>
        <w:spacing w:after="0" w:line="275"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Revenues for the quarter increased 71% to $43.0 million from $25.2 million in the second quarter of 2006 comprised of 56% organic revenue growth and 15% acquisition-related revenue growth.</w:t>
      </w:r>
    </w:p>
    <w:p>
      <w:pPr>
        <w:spacing w:after="0" w:line="38" w:lineRule="exact"/>
        <w:rPr>
          <w:rFonts w:ascii="Arial" w:cs="Arial" w:eastAsia="Arial" w:hAnsi="Arial"/>
          <w:sz w:val="18"/>
          <w:szCs w:val="18"/>
          <w:b w:val="1"/>
          <w:bCs w:val="1"/>
          <w:color w:val="auto"/>
        </w:rPr>
      </w:pPr>
    </w:p>
    <w:p>
      <w:pPr>
        <w:ind w:left="900" w:hanging="325"/>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Gross margin for the quarter was 33.1% compared to 36.8% in the second quarter of 2006.</w:t>
      </w:r>
    </w:p>
    <w:p>
      <w:pPr>
        <w:spacing w:after="0" w:line="90" w:lineRule="exact"/>
        <w:rPr>
          <w:rFonts w:ascii="Arial" w:cs="Arial" w:eastAsia="Arial" w:hAnsi="Arial"/>
          <w:sz w:val="18"/>
          <w:szCs w:val="18"/>
          <w:b w:val="1"/>
          <w:bCs w:val="1"/>
          <w:color w:val="auto"/>
        </w:rPr>
      </w:pPr>
    </w:p>
    <w:p>
      <w:pPr>
        <w:ind w:left="900" w:right="200" w:hanging="325"/>
        <w:spacing w:after="0" w:line="26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margin for the quarter was 6.1% compared to 12.3% in the second quarter of 2006; adjusted operating margin for the quarter, excluding the impact of stock-based compensation expense and amortization of intangibles, was 10.0% compared to 13.1% in the second quarter of 2006.</w:t>
      </w:r>
    </w:p>
    <w:p>
      <w:pPr>
        <w:spacing w:after="0" w:line="51" w:lineRule="exact"/>
        <w:rPr>
          <w:rFonts w:ascii="Arial" w:cs="Arial" w:eastAsia="Arial" w:hAnsi="Arial"/>
          <w:sz w:val="18"/>
          <w:szCs w:val="18"/>
          <w:b w:val="1"/>
          <w:bCs w:val="1"/>
          <w:color w:val="auto"/>
        </w:rPr>
      </w:pPr>
    </w:p>
    <w:p>
      <w:pPr>
        <w:ind w:left="900" w:right="160" w:hanging="325"/>
        <w:spacing w:after="0" w:line="26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to common stockholders for the quarter was $5.6 million compared to $1.4 million in the second quarter of 2006; net income to common stockholders for the quarter includes stock-based compensation expense and amortization of intangibles of $1.7 million and $0.2 million in the second quarter of 2007 and 2006,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adjusted financial measures to GAAP are included at the end of this release.</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Vikram Talwar, CEO and Vice-Chairman of EXL, commented: “I am enthusiastic about the continued rapid growth in EXL’s business during the quarter and the strong interest we are seeing from new and existing clients. EXL secured eleven new clients this quarter including several blue-chip names in line with our strategy of acquiring the highest quality clients in select industry domains. We also entered a new vertical this quarter with the addition of a Fortune 500 transportation services provider. ”</w:t>
      </w:r>
    </w:p>
    <w:p>
      <w:pPr>
        <w:spacing w:after="0" w:line="143"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Rohit Kapoor, President and COO of EXL, commented: “EXL is executing on its plan of investing in our front-end with the creation of our Strategic Account Management function with the goal of strengthening our existing client relationships. In addition, this quarter we added significant additional talent to the sales and marketing function. Operationally, our track record of process excellence remains strong and our attrition management program is beginning to deliver the desired results.”</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Matt Appel, CFO of EXL, commented: “EXL’s revenue growth outperformed expectations this quarter and was led by continued strong momentum in the BPO business and a record quarter in advisory services. As a result, we are revising upward our 2007 revenue guidance to between $168 million and $172 million from $160 million to $170 million previously. In addition, despite the significant rupee appreciation during the second quarter, we are reaffirming our adjusted operating margin guidance of 12% for the year.”</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 – Second Quarter 2007</w:t>
      </w:r>
    </w:p>
    <w:p>
      <w:pPr>
        <w:spacing w:after="0" w:line="96" w:lineRule="exact"/>
        <w:rPr>
          <w:sz w:val="20"/>
          <w:szCs w:val="20"/>
          <w:color w:val="auto"/>
        </w:rPr>
      </w:pPr>
    </w:p>
    <w:p>
      <w:pPr>
        <w:ind w:left="900" w:right="8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for the quarter ended June 30, 2007 increased 71% to $43.0 million from $25.2 million in the quarter ended June 30, 2006. BPO revenue for the quarter of $35.3 million reflects organic growth of 57.5% year over year. Research and analytics revenue for the quarter of $4.3 million is not comparable with the second quarter of 2006 since the size of this business line was not significant. Advisory revenue of $3.4 million for the quarter reflects organic growth of 54.9% year over year.</w:t>
      </w:r>
    </w:p>
    <w:p>
      <w:pPr>
        <w:spacing w:after="0" w:line="62"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for the quarter ended June 30, 2007 was 33.1% compared to 36.8% in the quarter ended June 30, 2006. BPO gross margin for the quarter was 35.8% reflecting the impact of the Indian rupee and annual wage increases. Research and analytics gross margin for the quarter of 12.9% reflects the continued softness in this line of business. Advisory gross margin for the quarter was 29.8% reflecting the impact of the Indian rupee as well as costs attributable to staff and management additions.</w:t>
      </w:r>
    </w:p>
    <w:p>
      <w:pPr>
        <w:spacing w:after="0" w:line="62" w:lineRule="exact"/>
        <w:rPr>
          <w:rFonts w:ascii="Arial" w:cs="Arial" w:eastAsia="Arial" w:hAnsi="Arial"/>
          <w:sz w:val="18"/>
          <w:szCs w:val="18"/>
          <w:color w:val="auto"/>
        </w:rPr>
      </w:pPr>
    </w:p>
    <w:p>
      <w:pPr>
        <w:ind w:left="900" w:right="80" w:hanging="325"/>
        <w:spacing w:after="0" w:line="25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margin for the quarter ended June 30, 2007 was 6.1%, compared to 12.3% in the quarter ended June 30, 2006. Adjusted operating margin, excluding the impact of stock-based compensation expense and amortization of intangibles, for the quarter ended June 30, 2007 was 10.0% compared to 13.1% in the quarter ended June 30, 2006. Operating margin was negatively impacted in the second quarter by a number of factors including the significant appreciation of the Indian rupee, continued softness in the research and analytics business line, annual wage increases and the opening of a new, 1,200 seat operating facility.</w:t>
      </w:r>
    </w:p>
    <w:p>
      <w:pPr>
        <w:spacing w:after="0" w:line="61" w:lineRule="exact"/>
        <w:rPr>
          <w:rFonts w:ascii="Arial" w:cs="Arial" w:eastAsia="Arial" w:hAnsi="Arial"/>
          <w:sz w:val="18"/>
          <w:szCs w:val="18"/>
          <w:color w:val="auto"/>
        </w:rPr>
      </w:pPr>
    </w:p>
    <w:p>
      <w:pPr>
        <w:ind w:left="900" w:hanging="325"/>
        <w:spacing w:after="0" w:line="323"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Net income to common stockholders for the quarter ended June 30, 2007 was $5.6 million compared to $1.4 million in the quarter ended June 30, 2006; net income to common stockholders for the quarter includes stock-based compensation expense and amortization of intangibles of $1.7 million and $0.2 million in the second quarter of 2007 and 2006, respectively. Net income benefited by approximately $2.3 million of foreign exchange gains during the quarter as well as a significantly lower effective tax rate. Diluted earnings per share was $0.19 for the quarter ended June 30, 2007.</w:t>
      </w:r>
    </w:p>
    <w:p>
      <w:pPr>
        <w:spacing w:after="0" w:line="16" w:lineRule="exact"/>
        <w:rPr>
          <w:rFonts w:ascii="Arial" w:cs="Arial" w:eastAsia="Arial" w:hAnsi="Arial"/>
          <w:sz w:val="15"/>
          <w:szCs w:val="15"/>
          <w:color w:val="auto"/>
        </w:rPr>
      </w:pPr>
    </w:p>
    <w:p>
      <w:pPr>
        <w:ind w:left="900" w:right="8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generated from our largest client was 29% of total revenues for the quarter ended June 30, 2007 compared to 41% for the quarter ended June 30, 2006. Revenue generated from our three largest clients was 60% of total revenues for the quarter ended June 30, 2007 compared to 64% for the quarter ended June 30, 2006.</w:t>
      </w:r>
    </w:p>
    <w:p>
      <w:pPr>
        <w:spacing w:after="0" w:line="59"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Note: Results may not be comparable due to the inclusion of the financial results of Inductis, Inc. in our consolidated financial statements from July 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 Second Quarter 2007</w:t>
      </w:r>
    </w:p>
    <w:p>
      <w:pPr>
        <w:spacing w:after="0" w:line="96" w:lineRule="exact"/>
        <w:rPr>
          <w:sz w:val="20"/>
          <w:szCs w:val="20"/>
          <w:color w:val="auto"/>
        </w:rPr>
      </w:pPr>
    </w:p>
    <w:p>
      <w:pPr>
        <w:ind w:left="900" w:right="220" w:hanging="325"/>
        <w:spacing w:after="0" w:line="335"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BPO business line continued to experience rapid revenue growth and grew 8.0% compared to the preceding quarter. During the quarter EXL secured two new contracts including a finance and accounting contract with a Fortune 500 transportation company and benefited from growth in several existing client relationships. The BPO business line comprised 82% of our revenues for the second quarter and grew 57.5% year over year.</w:t>
      </w:r>
    </w:p>
    <w:p>
      <w:pPr>
        <w:spacing w:after="0" w:line="7" w:lineRule="exact"/>
        <w:rPr>
          <w:rFonts w:ascii="Arial" w:cs="Arial" w:eastAsia="Arial" w:hAnsi="Arial"/>
          <w:sz w:val="15"/>
          <w:szCs w:val="15"/>
          <w:color w:val="auto"/>
        </w:rPr>
      </w:pPr>
    </w:p>
    <w:p>
      <w:pPr>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advisory business line continued its track record of record quarterly revenue growth. During the second quarter the advisory business line continued to enhance the value and diversity of its service offerings and secured five new contracts including an engagement to provide finance and accounting transformation services for one of the leading European investment banks.</w:t>
      </w:r>
    </w:p>
    <w:p>
      <w:pPr>
        <w:spacing w:after="0" w:line="59"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expected, the research and analytics business line experienced continued softness during the second quarter. EXL continues to focus on cross-selling to existing clients as well as securing new client relationships. During the second quarter, the research and analytics business line initiated four new relationships including a Fortune 50 U.S. bank and a FTSE-100 U.K. bank. The research and analytics business line continued to capitalize on cross-sell opportunities as this business line increasingly attracts revenues that are recurring and contracted in nature.</w:t>
      </w:r>
    </w:p>
    <w:p>
      <w:pPr>
        <w:spacing w:after="0" w:line="11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of June 30, 2007, EXL had a headcount of approximately 9,300 individuals, an increase of 31% from approximately 7,100 at June 30, 2006. The Company’s headcount during the second quarter of 2007 increased by approximately 300 employees from the end of the preceding quarter. The attrition rate for billable employees during the second quarter of 2007 declined slightly to 41.9% as compared to 43.7% in the first quarter of 2007.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visibility, the Company is providing the following guidance: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Calendar year 2007 revenue revised upwards to between $168 million to $172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Calendar year 2007 adjusted operating margin guidance of 12% remains unchanged.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tax rate guidance for remainder of 2007 of between 10% and 15%.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Calendar year 2007 EPS of between $0.74 and $0.78 per diluted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EXL will host a conference call on Thursday, August 9, at 8:00 a.m. (ET) to discuss the Company’s quarterly results and discuss the Company’s operating performance and financial outlook. The conference call will be available live via the Internet by accessing the EXL web site at www.exlservice.com, where the accompanying presentation can also be accessed. Please go to the web site at least fifteen minutes prior to the call to register, download and install any necessary audio software.</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listen to the conference call via phone, please dial 1-866-543-6407 or 1-617-213-8898 and entering “71509461.” For those who cannot access the live broadcast, a replay will be available by dialing 888-286-8010 or 617-801-6888 and entering “95054031” from two hours after the end of the call until 11:59 p.m. (EST) on August 24th, 2007. The replay will also be available at the EXL web 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 xml:space="preserve">ExlService Holdings, Inc. (NASDAQ: EXLS), is a recognized provider of offshore solutions including business process outsourcing (BPO), research and analytics and advisory services. It primarily serves the needs of Global 1000 companies in the banking, financial services and insurance sector. EXL is headquartered at 350 Park Avenue, New York, NY.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 10-K for the year ended December 31, 2006. These risks could cause actual results to differ materially from those implied by forward-looking statements in this release.</w:t>
      </w:r>
    </w:p>
    <w:p>
      <w:pPr>
        <w:spacing w:after="0" w:line="12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9"/>
              </w:rPr>
              <w:t>Three months ended June 30,</w:t>
            </w:r>
          </w:p>
        </w:tc>
        <w:tc>
          <w:tcPr>
            <w:tcW w:w="100" w:type="dxa"/>
            <w:vAlign w:val="bottom"/>
          </w:tcPr>
          <w:p>
            <w:pPr>
              <w:spacing w:after="0"/>
              <w:rPr>
                <w:sz w:val="14"/>
                <w:szCs w:val="14"/>
                <w:color w:val="auto"/>
              </w:rPr>
            </w:pPr>
          </w:p>
        </w:tc>
        <w:tc>
          <w:tcPr>
            <w:tcW w:w="20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42,646,251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24,650,263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82,150,252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46,107,597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Revenues (from related parties)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373,588</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579,995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724,035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43,019,839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25,230,258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82,874,287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46,788,242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28,798,645</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15,941,695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53,280,613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29,887,639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14,221,194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9,288,563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29,593,674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16,900,603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6,805,341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3,633,351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12,840,888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7,308,380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2,027,727</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685,909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3,991,257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1,448,100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2,764,035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1,875,243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5,204,937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3,639,974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11,597,103</w:t>
            </w: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6,194,503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22,037,082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12,396,454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2,624,091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3,094,060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7,556,592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2,294,904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(1,100,715)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2,865,011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1,018,782</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363,759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2,026,584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(9,559)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(203,767)</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0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5,928,218</w:t>
            </w: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2,255,356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12,421,107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4,201,870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308,170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670,196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1,392,433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0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5,620,048</w:t>
            </w: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1,585,160</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11,028,674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3,698,442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(342,379)</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gridSpan w:val="3"/>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5,620,048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1,411,509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11,028,674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3,356,063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Diluted earnings per share to common stockholders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Basic</w:t>
            </w:r>
            <w:r>
              <w:rPr>
                <w:rFonts w:ascii="Arial" w:cs="Arial" w:eastAsia="Arial" w:hAnsi="Arial"/>
                <w:sz w:val="22"/>
                <w:szCs w:val="22"/>
                <w:color w:val="auto"/>
                <w:vertAlign w:val="superscript"/>
              </w:rPr>
              <w:t>(1)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28,495,781</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21,224,168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28,319,530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21,217,626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860"/>
              <w:spacing w:after="0" w:line="217"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29,210,372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21,407,834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29,050,897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21,429,822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40" w:hanging="452"/>
        <w:spacing w:after="0" w:line="268"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shares and earnings per share data for the three and six months ended June 30, 2006 has been adjusted to reflect the stock split and conversion effected by the Company in connection with its October 2006 initial public offering.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4"/>
              <w:spacing w:after="0" w:line="142" w:lineRule="exact"/>
              <w:rPr>
                <w:sz w:val="20"/>
                <w:szCs w:val="20"/>
                <w:color w:val="auto"/>
              </w:rPr>
            </w:pPr>
            <w:r>
              <w:rPr>
                <w:rFonts w:ascii="Arial" w:cs="Arial" w:eastAsia="Arial" w:hAnsi="Arial"/>
                <w:sz w:val="14"/>
                <w:szCs w:val="14"/>
                <w:b w:val="1"/>
                <w:bCs w:val="1"/>
                <w:color w:val="auto"/>
                <w:w w:val="91"/>
              </w:rPr>
              <w:t>(Audited)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82,604,086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85,366,103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482,720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Accounts receivable, net of allowance for doubtful accounts of $22,539 at June 30, 2007 and $100,828 at December 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34,300,602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26,801,058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316,618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receivables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1,656,936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1,673,721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3,578,669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Prepaid income tax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106,788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7,755,706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131,637,577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122,720,533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23,639,959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21,545,324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16,785,487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16,651,462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340,776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2,254,722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6,488,952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181,937,473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165,608,942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2,666,365</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3,161,942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4,517,166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8,875,308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10,251,197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11,016,164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14,336,829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2,705,326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27,433,316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37,698,915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172,862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non current liabilities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28,118,162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38,412,481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$0.001 par value; 100,000,000 shares authorized, 28,714,859 shares issued and outstanding as at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June 30, 2007 and 28,262,289 shares issued and outstanding as at December 31, 2006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106,912,223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98,429,374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39,693,321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28,664,647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7,220,568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153,854,827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127,231,977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Less: 149,138 shares as at June 30, 2007 and December 31, 2006, held in treasury, at 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(35,516)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153,819,311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127,196,461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181,937,473</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165,608,942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To supplement the consolidated financial statements presented in accordance with GAAP, this press release includes the following measures defined by the Securities and Exchange Commission as non-GAAP financial measures: non-GAAP operating margin and non-GAAP diluted earnings per share. These non-GAAP measures are not based on any comprehensive set of accounting rules or principles and should not be considered a substitute for, or superior to, financial measures calculated in accordance with GAAP, and may be different from non-GAAP measures used by other companies. In addition, these non-GAAP measures, the financial statements prepared in accordance with GAAP and reconciliations of EXL’s GAAP financial statements to such non-GAAP measures should be carefully evaluated.</w:t>
      </w:r>
    </w:p>
    <w:p>
      <w:pPr>
        <w:spacing w:after="0" w:line="144"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i w:val="1"/>
          <w:iCs w:val="1"/>
          <w:color w:val="auto"/>
        </w:rPr>
        <w:t>For its internal management reporting and budgeting purposes, EXL’s management uses financial statements that do not include stock-based compensation expense related to employee stock options and amortization of acquisition-related intangibles for financial and operational decision making, to evaluate period-to-period comparisons or for making comparisons of EXL’s operating results to that of its competitors. Moreover, because of varying available valuation methodologies, subjective assumptions and the variety of award types that companies can use when adopting FAS 123(R), EXL’s management believes that providing a non-GAAP financial measure that excludes stock-based compensation and amortization of acquisition-related intangibles allows investors to make additional comparisons between EXL’s operating results to those of other companies. The Company also believes that it is unreasonably difficult to provide its financial outlook in accordance with GAAP for a number of reasons including, without limitation, the Company’s inability to predict its future stock-based compensation expense under FAS 123(R) and the amortization of intangibles associated with further acquisitions. Accordingly, EXL believes that the presentation of non-GAAP operating margin and non-GAAP diluted earnings per share, when read in conjunction with the Company’s reported results, can provide useful supplemental information to investors and management regarding financial and business trends relating to its financial condition and results of operations.</w:t>
      </w:r>
    </w:p>
    <w:p>
      <w:pPr>
        <w:spacing w:after="0" w:line="109" w:lineRule="exact"/>
        <w:rPr>
          <w:sz w:val="20"/>
          <w:szCs w:val="20"/>
          <w:color w:val="auto"/>
        </w:rPr>
      </w:pPr>
    </w:p>
    <w:p>
      <w:pPr>
        <w:jc w:val="both"/>
        <w:ind w:right="120"/>
        <w:spacing w:after="0" w:line="284" w:lineRule="auto"/>
        <w:rPr>
          <w:sz w:val="20"/>
          <w:szCs w:val="20"/>
          <w:color w:val="auto"/>
        </w:rPr>
      </w:pPr>
      <w:r>
        <w:rPr>
          <w:rFonts w:ascii="Arial" w:cs="Arial" w:eastAsia="Arial" w:hAnsi="Arial"/>
          <w:sz w:val="16"/>
          <w:szCs w:val="16"/>
          <w:i w:val="1"/>
          <w:iCs w:val="1"/>
          <w:color w:val="auto"/>
        </w:rPr>
        <w:t>A limitation of using non-GAAP operating margin and non-GAAP diluted earnings per share versus operating margin and diluted earnings per share calculated in accordance with GAAP is that non-GAAP operating margin and non-GAAP diluted earnings per share exclude costs, namely, stock-based compensation, that are recurring. Stock-based compensation has been and will continue to be a significant recurring expense in EXL’s business for the foreseeable future.</w:t>
      </w:r>
    </w:p>
    <w:p>
      <w:pPr>
        <w:spacing w:after="0" w:line="1"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i w:val="1"/>
          <w:iCs w:val="1"/>
          <w:color w:val="auto"/>
        </w:rPr>
        <w:t>Management compensates for this limitation by providing specific information regarding the GAAP amounts excluded from non-GAAP operating margin and non-GAAP diluted earnings per share and evaluating such non-GAAP financial measures with financial measures calculated in accordance with GAAP.</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The following table shows the reconciliation of these adjusted financial measures from GAAP for the three months ended June 30, 2007 and June 30, 2006: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0"/>
              </w:rPr>
              <w:t>Three Months Ended June 30,</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5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Non-GAAP</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43,020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43,020</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25,230</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25,230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28,799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(289)(a)</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28,510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15,942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(28)(a)</w:t>
            </w: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15,914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14,221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14,510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gridSpan w:val="3"/>
          </w:tcPr>
          <w:p>
            <w:pPr>
              <w:spacing w:after="0"/>
              <w:rPr>
                <w:sz w:val="20"/>
                <w:szCs w:val="20"/>
                <w:color w:val="auto"/>
              </w:rPr>
            </w:pPr>
            <w:r>
              <w:rPr>
                <w:rFonts w:ascii="Arial" w:cs="Arial" w:eastAsia="Arial" w:hAnsi="Arial"/>
                <w:sz w:val="18"/>
                <w:szCs w:val="18"/>
                <w:i w:val="1"/>
                <w:iCs w:val="1"/>
                <w:color w:val="auto"/>
              </w:rPr>
              <w:t>Gross Margin %</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33.1%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33.7%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rPr>
              <w:t>36.8%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36.9%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(802)(a)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(173)(a)</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2,764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(590)(b)</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2,174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1,875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4,305</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3,095</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3,295</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Operating Margin %</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6.1%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b w:val="1"/>
                <w:bCs w:val="1"/>
                <w:i w:val="1"/>
                <w:iCs w:val="1"/>
                <w:color w:val="auto"/>
              </w:rPr>
              <w:t>12.3%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exclude amortization of intangibles recorded in the quarter ending June 30, 2007 in connection with the Inductis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The income statement for the three months ended June 30, 2006 does not include Inductis, Inc.</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12"/>
    </w:lvl>
  </w:abstractNum>
  <w:abstractNum w:abstractNumId="2">
    <w:nsid w:val="507ED7AB"/>
    <w:multiLevelType w:val="hybridMultilevel"/>
    <w:lvl w:ilvl="0">
      <w:lvlJc w:val="left"/>
      <w:lvlText w:val="(%1)"/>
      <w:numFmt w:val="decimal"/>
      <w:start w:val="617"/>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2019-12-15T10:36:32Z</dcterms:created>
  <dcterms:modified xsi:type="dcterms:W3CDTF">2019-12-15T10:36:32Z</dcterms:modified>
</cp:coreProperties>
</file>