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Date of Report (Date of earliest event reported): December 31, 2019</w:t>
      </w:r>
    </w:p>
    <w:p>
      <w:pPr>
        <w:spacing w:after="0" w:line="78"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40"/>
          </w:cols>
          <w:pgMar w:left="240" w:top="972" w:right="21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6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99" w:lineRule="exact"/>
        <w:rPr>
          <w:sz w:val="24"/>
          <w:szCs w:val="24"/>
          <w:color w:val="auto"/>
        </w:rPr>
      </w:pPr>
    </w:p>
    <w:p>
      <w:pPr>
        <w:sectPr>
          <w:pgSz w:w="11900" w:h="16838" w:orient="portrait"/>
          <w:cols w:equalWidth="0" w:num="3">
            <w:col w:w="4720" w:space="720"/>
            <w:col w:w="3000" w:space="720"/>
            <w:col w:w="2280"/>
          </w:cols>
          <w:pgMar w:left="240" w:top="972" w:right="219" w:bottom="1440" w:gutter="0" w:footer="0" w:header="0"/>
          <w:type w:val="continuous"/>
        </w:sectPr>
      </w:pPr>
    </w:p>
    <w:p>
      <w:pPr>
        <w:jc w:val="center"/>
        <w:ind w:right="240"/>
        <w:spacing w:after="0"/>
        <w:rPr>
          <w:sz w:val="20"/>
          <w:szCs w:val="20"/>
          <w:color w:val="auto"/>
        </w:rPr>
      </w:pPr>
      <w:r>
        <w:rPr>
          <w:rFonts w:ascii="Arial" w:cs="Arial" w:eastAsia="Arial" w:hAnsi="Arial"/>
          <w:sz w:val="16"/>
          <w:szCs w:val="16"/>
          <w:color w:val="auto"/>
        </w:rPr>
        <w:t>(State or other jurisdiction</w:t>
      </w:r>
    </w:p>
    <w:p>
      <w:pPr>
        <w:spacing w:after="0" w:line="22" w:lineRule="exact"/>
        <w:rPr>
          <w:sz w:val="24"/>
          <w:szCs w:val="24"/>
          <w:color w:val="auto"/>
        </w:rPr>
      </w:pP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160" w:space="720"/>
            <w:col w:w="3340" w:space="720"/>
            <w:col w:w="2500"/>
          </w:cols>
          <w:pgMar w:left="240" w:top="972" w:right="219" w:bottom="1440" w:gutter="0" w:footer="0" w:header="0"/>
          <w:type w:val="continuous"/>
        </w:sectPr>
      </w:pPr>
    </w:p>
    <w:p>
      <w:pPr>
        <w:spacing w:after="0" w:line="227"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98" w:lineRule="exact"/>
        <w:rPr>
          <w:sz w:val="24"/>
          <w:szCs w:val="24"/>
          <w:color w:val="auto"/>
        </w:rPr>
      </w:pPr>
    </w:p>
    <w:p>
      <w:pPr>
        <w:sectPr>
          <w:pgSz w:w="11900" w:h="16838" w:orient="portrait"/>
          <w:cols w:equalWidth="0" w:num="2">
            <w:col w:w="7740" w:space="720"/>
            <w:col w:w="2980"/>
          </w:cols>
          <w:pgMar w:left="240" w:top="972" w:right="219" w:bottom="1440" w:gutter="0" w:footer="0" w:header="0"/>
          <w:type w:val="continuous"/>
        </w:sectPr>
      </w:pPr>
    </w:p>
    <w:p>
      <w:pPr>
        <w:ind w:left="504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98" w:lineRule="exact"/>
        <w:rPr>
          <w:sz w:val="24"/>
          <w:szCs w:val="24"/>
          <w:color w:val="auto"/>
        </w:rPr>
      </w:pPr>
    </w:p>
    <w:p>
      <w:pPr>
        <w:sectPr>
          <w:pgSz w:w="11900" w:h="16838" w:orient="portrait"/>
          <w:cols w:equalWidth="0" w:num="2">
            <w:col w:w="7620" w:space="720"/>
            <w:col w:w="3100"/>
          </w:cols>
          <w:pgMar w:left="240" w:top="972" w:right="219" w:bottom="1440" w:gutter="0" w:footer="0" w:header="0"/>
          <w:type w:val="continuous"/>
        </w:sectPr>
      </w:pPr>
    </w:p>
    <w:p>
      <w:pPr>
        <w:ind w:left="4680"/>
        <w:spacing w:after="0"/>
        <w:rPr>
          <w:sz w:val="20"/>
          <w:szCs w:val="20"/>
          <w:color w:val="auto"/>
        </w:rPr>
      </w:pPr>
      <w:r>
        <w:rPr>
          <w:rFonts w:ascii="Arial" w:cs="Arial" w:eastAsia="Arial" w:hAnsi="Arial"/>
          <w:sz w:val="16"/>
          <w:szCs w:val="16"/>
          <w:color w:val="auto"/>
        </w:rPr>
        <w:t>(Address of principal executive offices)</w:t>
      </w:r>
    </w:p>
    <w:p>
      <w:pPr>
        <w:spacing w:after="0" w:line="109" w:lineRule="exact"/>
        <w:rPr>
          <w:sz w:val="24"/>
          <w:szCs w:val="24"/>
          <w:color w:val="auto"/>
        </w:rPr>
      </w:pPr>
    </w:p>
    <w:p>
      <w:pPr>
        <w:ind w:left="350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440"/>
          </w:cols>
          <w:pgMar w:left="240" w:top="972" w:right="21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ind w:left="620" w:hanging="585"/>
        <w:spacing w:after="0" w:line="214"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Written communication pursuant to Rule 425 under the Securities Act (17 CFR 230.425)</w:t>
      </w:r>
    </w:p>
    <w:p>
      <w:pPr>
        <w:spacing w:after="0" w:line="95"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Soliciting material pursuant to Rule 14a-12 under the Exchange Act (17 CFR 240.14a-12)</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94" w:lineRule="exact"/>
        <w:rPr>
          <w:rFonts w:ascii="MS PGothic" w:cs="MS PGothic" w:eastAsia="MS PGothic" w:hAnsi="MS PGothic"/>
          <w:sz w:val="43"/>
          <w:szCs w:val="43"/>
          <w:color w:val="auto"/>
          <w:vertAlign w:val="subscript"/>
        </w:rPr>
      </w:pPr>
    </w:p>
    <w:p>
      <w:pPr>
        <w:ind w:left="620" w:hanging="585"/>
        <w:spacing w:after="0" w:line="196" w:lineRule="auto"/>
        <w:tabs>
          <w:tab w:leader="none" w:pos="6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67" w:lineRule="exact"/>
        <w:rPr>
          <w:sz w:val="24"/>
          <w:szCs w:val="24"/>
          <w:color w:val="auto"/>
        </w:rPr>
      </w:pPr>
    </w:p>
    <w:p>
      <w:pPr>
        <w:ind w:right="20"/>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color w:val="auto"/>
        </w:rPr>
        <w:t>Emerging growth company</w:t>
      </w:r>
    </w:p>
    <w:p>
      <w:pPr>
        <w:spacing w:after="0" w:line="320" w:lineRule="exact"/>
        <w:rPr>
          <w:rFonts w:ascii="MS PGothic" w:cs="MS PGothic" w:eastAsia="MS PGothic" w:hAnsi="MS PGothic"/>
          <w:sz w:val="43"/>
          <w:szCs w:val="43"/>
          <w:color w:val="auto"/>
          <w:vertAlign w:val="subscript"/>
        </w:rPr>
      </w:pPr>
    </w:p>
    <w:p>
      <w:pPr>
        <w:ind w:left="620" w:right="180" w:hanging="585"/>
        <w:spacing w:after="0" w:line="180" w:lineRule="auto"/>
        <w:tabs>
          <w:tab w:leader="none" w:pos="62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5487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651510"/>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6"/>
        </w:trPr>
        <w:tc>
          <w:tcPr>
            <w:tcW w:w="38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r>
      <w:tr>
        <w:trPr>
          <w:trHeight w:val="217"/>
        </w:trPr>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EXLS</w:t>
            </w:r>
          </w:p>
        </w:tc>
        <w:tc>
          <w:tcPr>
            <w:tcW w:w="4340" w:type="dxa"/>
            <w:vAlign w:val="bottom"/>
          </w:tcPr>
          <w:p>
            <w:pPr>
              <w:jc w:val="center"/>
              <w:spacing w:after="0"/>
              <w:rPr>
                <w:sz w:val="20"/>
                <w:szCs w:val="20"/>
                <w:color w:val="auto"/>
              </w:rPr>
            </w:pPr>
            <w:r>
              <w:rPr>
                <w:rFonts w:ascii="Arial" w:cs="Arial" w:eastAsia="Arial" w:hAnsi="Arial"/>
                <w:sz w:val="16"/>
                <w:szCs w:val="16"/>
                <w:color w:val="auto"/>
              </w:rPr>
              <w:t>NASDAQ</w:t>
            </w:r>
          </w:p>
        </w:tc>
      </w:tr>
      <w:tr>
        <w:trPr>
          <w:trHeight w:val="33"/>
        </w:trPr>
        <w:tc>
          <w:tcPr>
            <w:tcW w:w="38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ectPr>
          <w:pgSz w:w="11900" w:h="16838" w:orient="portrait"/>
          <w:cols w:equalWidth="0" w:num="1">
            <w:col w:w="11440"/>
          </w:cols>
          <w:pgMar w:left="240" w:top="972"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2.01. Completion of Acquisition or Disposition of Assets.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31, 2019, ExlService Holdings, Inc. (“EXL” or “we” or “us” or “our” or the “Company”) completed substantially the previously announced wind down of the operations of the Health Integrated business, which is reported within the Company's Healthcare reportable segment. The commencement of the process of winding down the Health Integrated business was previously disclosed by the Company in the Current Report on Form 8-K filed with the Securities and Exchange Commission (“SEC”) on April 4, 2019 as amended by a Current Report on Form 8-K/A filed with the SEC on July 16, 2019. The unaudited pro forma financial information giving effect to winding down of the operations of the Health Integrated business is filed herewith as Exhibit 99.1.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financial information of the Company is filed as Exhibit 99.1 to this Report on Form 8-K and is incorporated herein by reference:</w:t>
      </w:r>
    </w:p>
    <w:p>
      <w:pPr>
        <w:spacing w:after="0" w:line="170" w:lineRule="exact"/>
        <w:rPr>
          <w:sz w:val="20"/>
          <w:szCs w:val="20"/>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Consolidated Balance Sheet as of September 30, 2019.</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Unaudited Pro Forma Condensed Consolidated Statements of Income for the nine months ended September 30, 2019 and for the year ended December 31, 2018.</w:t>
      </w: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to the Unaudited Pro Forma Condensed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 forma financial statements are presented for informational purposes only and do not purport to represent what the Company’s results of operations or financial position would have been had the wind down and other transactions reflected occurred on the dates indicated or to project the Company’s financial position as of any future date or the Company’s results of operations for any future period.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8620" w:type="dxa"/>
            <w:vAlign w:val="bottom"/>
            <w:gridSpan w:val="4"/>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900" w:type="dxa"/>
            <w:vAlign w:val="bottom"/>
            <w:tcBorders>
              <w:bottom w:val="single" w:sz="8" w:color="0000FF"/>
            </w:tcBorders>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ExlService Holdings, Inc. Unaudited Pro Forma Condensed Consolidated Financial Statements.</w:t>
              </w:r>
            </w:hyperlink>
          </w:p>
        </w:tc>
      </w:tr>
    </w:tbl>
    <w:p>
      <w:pPr>
        <w:sectPr>
          <w:pgSz w:w="11900" w:h="16838" w:orient="portrait"/>
          <w:cols w:equalWidth="0" w:num="1">
            <w:col w:w="11420"/>
          </w:cols>
          <w:pgMar w:left="240" w:top="113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30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300" w:type="dxa"/>
            <w:vAlign w:val="bottom"/>
          </w:tcPr>
          <w:p>
            <w:pPr>
              <w:spacing w:after="0"/>
              <w:rPr>
                <w:sz w:val="20"/>
                <w:szCs w:val="20"/>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300" w:type="dxa"/>
            <w:vAlign w:val="bottom"/>
          </w:tcPr>
          <w:p>
            <w:pPr>
              <w:spacing w:after="0"/>
              <w:rPr>
                <w:sz w:val="20"/>
                <w:szCs w:val="20"/>
                <w:color w:val="auto"/>
              </w:rPr>
            </w:pPr>
            <w:r>
              <w:rPr>
                <w:rFonts w:ascii="Arial" w:cs="Arial" w:eastAsia="Arial" w:hAnsi="Arial"/>
                <w:sz w:val="18"/>
                <w:szCs w:val="18"/>
                <w:color w:val="auto"/>
              </w:rPr>
              <w:t>Date: January 7, 2020</w:t>
            </w:r>
          </w:p>
        </w:tc>
        <w:tc>
          <w:tcPr>
            <w:tcW w:w="3060" w:type="dxa"/>
            <w:vAlign w:val="bottom"/>
          </w:tcPr>
          <w:p>
            <w:pPr>
              <w:ind w:left="17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300" w:type="dxa"/>
            <w:vAlign w:val="bottom"/>
          </w:tcPr>
          <w:p>
            <w:pPr>
              <w:spacing w:after="0"/>
              <w:rPr>
                <w:sz w:val="21"/>
                <w:szCs w:val="21"/>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300" w:type="dxa"/>
            <w:vAlign w:val="bottom"/>
          </w:tcPr>
          <w:p>
            <w:pPr>
              <w:spacing w:after="0"/>
              <w:rPr>
                <w:sz w:val="23"/>
                <w:szCs w:val="23"/>
                <w:color w:val="auto"/>
              </w:rPr>
            </w:pPr>
          </w:p>
        </w:tc>
        <w:tc>
          <w:tcPr>
            <w:tcW w:w="3060" w:type="dxa"/>
            <w:vAlign w:val="bottom"/>
          </w:tcPr>
          <w:p>
            <w:pPr>
              <w:ind w:left="17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59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 UNAUDITED PRO FORMA CONDENSED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On December 31, 2019, ExlService Holdings, Inc. (“EXL” or “we” or “us” or “our” or the “Company”) completed substantially the previously announced wind down of the operations of the Health Integrated business, which is reported within the Company’s Healthcare reportable segment.</w:t>
      </w:r>
    </w:p>
    <w:p>
      <w:pPr>
        <w:spacing w:after="0" w:line="148" w:lineRule="exact"/>
        <w:rPr>
          <w:sz w:val="20"/>
          <w:szCs w:val="20"/>
          <w:color w:val="auto"/>
        </w:rPr>
      </w:pPr>
    </w:p>
    <w:p>
      <w:pPr>
        <w:jc w:val="both"/>
        <w:ind w:right="20" w:firstLine="648"/>
        <w:spacing w:after="0" w:line="395" w:lineRule="auto"/>
        <w:rPr>
          <w:sz w:val="20"/>
          <w:szCs w:val="20"/>
          <w:color w:val="auto"/>
        </w:rPr>
      </w:pPr>
      <w:r>
        <w:rPr>
          <w:rFonts w:ascii="Arial" w:cs="Arial" w:eastAsia="Arial" w:hAnsi="Arial"/>
          <w:sz w:val="16"/>
          <w:szCs w:val="16"/>
          <w:color w:val="auto"/>
        </w:rPr>
        <w:t>The following unaudited pro forma condensed consolidated balance sheet as of September 30, 2019 is presented as if the Health Integrated business wind down, as described in the notes to these unaudited pro forma condensed consolidated financial statements, had occurred at September 30, 2019.</w:t>
      </w:r>
    </w:p>
    <w:p>
      <w:pPr>
        <w:spacing w:after="0" w:line="124"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6"/>
          <w:szCs w:val="16"/>
          <w:color w:val="auto"/>
        </w:rPr>
        <w:t>The unaudited pro forma condensed consolidated statements of income for the nine months ended September 30, 2019, and for the year ended December 31, 2018, are based on the historical financial statements of the Company for such periods after giving effect to the winding down of the Health Integrated business as if it had occurred on January 1, 2018. Also included in the unaudited pro forma condensed consolidated statements of income for the year ended December 31, 2018, is the effect of the SCIOinspire Holdings Inc. (“SCIO”) acquisition, completed on July 1, 2018, as if the transaction occurred on January 1, 2018. Refer to the Company's Current Report on Form 8-K/A filed on September 7, 2018, for more information regarding the pro forma effects of the SCIO acquisition on the unaudited pro forma consolidated statement of income for the year ended December 31, 2018.</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The unaudited pro forma condensed consolidated financial statements are based on the historical financial statements of the Company for each period presented and in the opinion of the Company’s management, all adjustments and disclosures necessary for a fair presentation of the pro forma data have been made.</w:t>
      </w:r>
    </w:p>
    <w:p>
      <w:pPr>
        <w:spacing w:after="0" w:line="18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These unaudited pro forma condensed consolidated financial statements are prepared to meet the rules and regulations of the Securities and Exchange Commission ("SEC"), are presented for informational purposes only and should not be considered indicative of the results of operations or financial condition that would have been achieved had events reflected been completed as of the dates indicated or of the results that may be obtained in the future. These unaudited pro forma condensed consolidated financial statements and the notes thereto should be read together with the Company’s audited consolidated financial statements and the notes thereto as of and for the year ended December 31, 2018, and Management’s Discussion and Analysis included in the Company’s Annual Report on Form 10-K for the year ended December 31, 2018, as well as the Company’s unaudited consolidated financial statements and the notes thereto as of and for the nine months ended September 30, 2019, and Management’s Discussion and Analysis included in the Company’s Quarterly Report on Form 10-Q for the quarter ended September 30, 2019.</w:t>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EXLSERVICE HOLDINGS,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PRO FORMA CONDENSED CONSOLIDATED BALANCE SHEET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SEPTEMBER 30, 2019</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Reported</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8"/>
                <w:szCs w:val="18"/>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101,432</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100,428</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179,340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179,340</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5,412</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5,412</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179,702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179,702</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9,364</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8,920</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FFFF"/>
            </w:tcBorders>
            <w:shd w:val="clear" w:color="auto" w:fill="CCFFFF"/>
          </w:tcPr>
          <w:p>
            <w:pPr>
              <w:spacing w:after="0"/>
              <w:rPr>
                <w:sz w:val="23"/>
                <w:szCs w:val="23"/>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27,974</w:t>
            </w:r>
          </w:p>
        </w:tc>
        <w:tc>
          <w:tcPr>
            <w:tcW w:w="120" w:type="dxa"/>
            <w:vAlign w:val="bottom"/>
            <w:tcBorders>
              <w:bottom w:val="single" w:sz="8" w:color="CCFFFF"/>
            </w:tcBorders>
            <w:shd w:val="clear" w:color="auto" w:fill="CCFFFF"/>
          </w:tcPr>
          <w:p>
            <w:pPr>
              <w:spacing w:after="0"/>
              <w:rPr>
                <w:sz w:val="23"/>
                <w:szCs w:val="23"/>
                <w:color w:val="auto"/>
              </w:rPr>
            </w:pPr>
          </w:p>
        </w:tc>
        <w:tc>
          <w:tcPr>
            <w:tcW w:w="20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3"/>
                <w:szCs w:val="23"/>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27,974</w:t>
            </w:r>
          </w:p>
        </w:tc>
        <w:tc>
          <w:tcPr>
            <w:tcW w:w="0" w:type="dxa"/>
            <w:vAlign w:val="bottom"/>
          </w:tcPr>
          <w:p>
            <w:pPr>
              <w:spacing w:after="0"/>
              <w:rPr>
                <w:sz w:val="1"/>
                <w:szCs w:val="1"/>
                <w:color w:val="auto"/>
              </w:rPr>
            </w:pPr>
          </w:p>
        </w:tc>
      </w:tr>
      <w:tr>
        <w:trPr>
          <w:trHeight w:val="21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506,226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504,778</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FFFF"/>
            </w:tcBorders>
            <w:shd w:val="clear" w:color="auto" w:fill="CCFFFF"/>
          </w:tcPr>
          <w:p>
            <w:pPr>
              <w:spacing w:after="0"/>
              <w:rPr>
                <w:sz w:val="20"/>
                <w:szCs w:val="20"/>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78,471</w:t>
            </w:r>
          </w:p>
        </w:tc>
        <w:tc>
          <w:tcPr>
            <w:tcW w:w="120" w:type="dxa"/>
            <w:vAlign w:val="bottom"/>
            <w:tcBorders>
              <w:bottom w:val="single" w:sz="8" w:color="CCFFFF"/>
            </w:tcBorders>
            <w:shd w:val="clear" w:color="auto" w:fill="CCFFFF"/>
          </w:tcPr>
          <w:p>
            <w:pPr>
              <w:spacing w:after="0"/>
              <w:rPr>
                <w:sz w:val="20"/>
                <w:szCs w:val="20"/>
                <w:color w:val="auto"/>
              </w:rPr>
            </w:pPr>
          </w:p>
        </w:tc>
        <w:tc>
          <w:tcPr>
            <w:tcW w:w="200" w:type="dxa"/>
            <w:vAlign w:val="bottom"/>
            <w:tcBorders>
              <w:bottom w:val="single" w:sz="8" w:color="CCFFFF"/>
            </w:tcBorders>
            <w:shd w:val="clear" w:color="auto" w:fill="CCFFFF"/>
          </w:tcPr>
          <w:p>
            <w:pPr>
              <w:spacing w:after="0"/>
              <w:rPr>
                <w:sz w:val="20"/>
                <w:szCs w:val="20"/>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0"/>
                <w:szCs w:val="20"/>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78,471</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88,753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88,112</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2,441</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78,845</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78,845</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349,530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349,530</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32,967</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32,967</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Investment in equity affiliate</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1,145,978</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b w:val="1"/>
                <w:bCs w:val="1"/>
                <w:color w:val="auto"/>
              </w:rPr>
              <w:t>(2,089)</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1,143,889</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Current portion of long-term borrowings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20,876</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20,876</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9,585</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Accrued employee costs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59,568</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59,568</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68,798</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23,516</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23,516</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Current portion of finance lease liabilities</w:t>
            </w:r>
          </w:p>
        </w:tc>
        <w:tc>
          <w:tcPr>
            <w:tcW w:w="240" w:type="dxa"/>
            <w:vAlign w:val="bottom"/>
            <w:tcBorders>
              <w:bottom w:val="single" w:sz="8" w:color="CCFFFF"/>
            </w:tcBorders>
            <w:shd w:val="clear" w:color="auto" w:fill="CCFFFF"/>
          </w:tcPr>
          <w:p>
            <w:pPr>
              <w:spacing w:after="0"/>
              <w:rPr>
                <w:sz w:val="23"/>
                <w:szCs w:val="23"/>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FFFF"/>
            </w:tcBorders>
            <w:shd w:val="clear" w:color="auto" w:fill="CCFFFF"/>
          </w:tcPr>
          <w:p>
            <w:pPr>
              <w:spacing w:after="0"/>
              <w:rPr>
                <w:sz w:val="23"/>
                <w:szCs w:val="23"/>
                <w:color w:val="auto"/>
              </w:rPr>
            </w:pPr>
          </w:p>
        </w:tc>
        <w:tc>
          <w:tcPr>
            <w:tcW w:w="20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3"/>
                <w:szCs w:val="23"/>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187,902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186,824</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Long term borrowings</w:t>
            </w:r>
          </w:p>
        </w:tc>
        <w:tc>
          <w:tcPr>
            <w:tcW w:w="240" w:type="dxa"/>
            <w:vAlign w:val="bottom"/>
            <w:tcBorders>
              <w:bottom w:val="single" w:sz="8" w:color="CCFFFF"/>
            </w:tcBorders>
            <w:shd w:val="clear" w:color="auto" w:fill="CCFFFF"/>
          </w:tcPr>
          <w:p>
            <w:pPr>
              <w:spacing w:after="0"/>
              <w:rPr>
                <w:sz w:val="20"/>
                <w:szCs w:val="20"/>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223,916</w:t>
            </w:r>
          </w:p>
        </w:tc>
        <w:tc>
          <w:tcPr>
            <w:tcW w:w="120" w:type="dxa"/>
            <w:vAlign w:val="bottom"/>
            <w:tcBorders>
              <w:bottom w:val="single" w:sz="8" w:color="CCFFFF"/>
            </w:tcBorders>
            <w:shd w:val="clear" w:color="auto" w:fill="CCFFFF"/>
          </w:tcPr>
          <w:p>
            <w:pPr>
              <w:spacing w:after="0"/>
              <w:rPr>
                <w:sz w:val="20"/>
                <w:szCs w:val="20"/>
                <w:color w:val="auto"/>
              </w:rPr>
            </w:pPr>
          </w:p>
        </w:tc>
        <w:tc>
          <w:tcPr>
            <w:tcW w:w="200" w:type="dxa"/>
            <w:vAlign w:val="bottom"/>
            <w:tcBorders>
              <w:bottom w:val="single" w:sz="8" w:color="CCFFFF"/>
            </w:tcBorders>
            <w:shd w:val="clear" w:color="auto" w:fill="CCFFFF"/>
          </w:tcPr>
          <w:p>
            <w:pPr>
              <w:spacing w:after="0"/>
              <w:rPr>
                <w:sz w:val="20"/>
                <w:szCs w:val="20"/>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0"/>
                <w:szCs w:val="20"/>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223,916</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Finance lease liabilities, less current portion</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rPr>
                <w:sz w:val="20"/>
                <w:szCs w:val="20"/>
                <w:color w:val="auto"/>
              </w:rPr>
            </w:pPr>
            <w:r>
              <w:rPr>
                <w:rFonts w:ascii="Arial" w:cs="Arial" w:eastAsia="Arial" w:hAnsi="Arial"/>
                <w:sz w:val="16"/>
                <w:szCs w:val="16"/>
                <w:color w:val="auto"/>
              </w:rPr>
              <w:t>Deferred tax liabilities, net</w:t>
            </w:r>
          </w:p>
        </w:tc>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Operating lease liabilities, less current portion</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76,080</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76,080</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9,241</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498,295</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497,217</w:t>
            </w:r>
          </w:p>
        </w:tc>
        <w:tc>
          <w:tcPr>
            <w:tcW w:w="0" w:type="dxa"/>
            <w:vAlign w:val="bottom"/>
          </w:tcPr>
          <w:p>
            <w:pPr>
              <w:spacing w:after="0"/>
              <w:rPr>
                <w:sz w:val="1"/>
                <w:szCs w:val="1"/>
                <w:color w:val="auto"/>
              </w:rPr>
            </w:pPr>
          </w:p>
        </w:tc>
      </w:tr>
      <w:tr>
        <w:trPr>
          <w:trHeight w:val="231"/>
        </w:trPr>
        <w:tc>
          <w:tcPr>
            <w:tcW w:w="67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80" w:type="dxa"/>
            <w:vAlign w:val="bottom"/>
            <w:shd w:val="clear" w:color="auto" w:fill="CCFFFF"/>
          </w:tcPr>
          <w:p>
            <w:pPr>
              <w:ind w:left="40"/>
              <w:spacing w:after="0"/>
              <w:rPr>
                <w:sz w:val="20"/>
                <w:szCs w:val="20"/>
                <w:color w:val="auto"/>
              </w:rPr>
            </w:pPr>
            <w:r>
              <w:rPr>
                <w:rFonts w:ascii="Arial" w:cs="Arial" w:eastAsia="Arial" w:hAnsi="Arial"/>
                <w:sz w:val="16"/>
                <w:szCs w:val="16"/>
                <w:color w:val="auto"/>
                <w:w w:val="97"/>
              </w:rPr>
              <w:t>Common stock, $0.001 par value; 100,000,000 shares authorized, 38,322,354 shares issued and</w:t>
            </w:r>
          </w:p>
        </w:tc>
        <w:tc>
          <w:tcPr>
            <w:tcW w:w="240" w:type="dxa"/>
            <w:vAlign w:val="bottom"/>
            <w:shd w:val="clear" w:color="auto" w:fill="CCFFFF"/>
          </w:tcPr>
          <w:p>
            <w:pPr>
              <w:spacing w:after="0"/>
              <w:rPr>
                <w:sz w:val="19"/>
                <w:szCs w:val="19"/>
                <w:color w:val="auto"/>
              </w:rPr>
            </w:pPr>
          </w:p>
        </w:tc>
        <w:tc>
          <w:tcPr>
            <w:tcW w:w="1140" w:type="dxa"/>
            <w:vAlign w:val="bottom"/>
            <w:shd w:val="clear" w:color="auto" w:fill="CCFFFF"/>
          </w:tcPr>
          <w:p>
            <w:pPr>
              <w:spacing w:after="0"/>
              <w:rPr>
                <w:sz w:val="19"/>
                <w:szCs w:val="19"/>
                <w:color w:val="auto"/>
              </w:rPr>
            </w:pPr>
          </w:p>
        </w:tc>
        <w:tc>
          <w:tcPr>
            <w:tcW w:w="120" w:type="dxa"/>
            <w:vAlign w:val="bottom"/>
            <w:shd w:val="clear" w:color="auto" w:fill="CCFFFF"/>
          </w:tcPr>
          <w:p>
            <w:pPr>
              <w:spacing w:after="0"/>
              <w:rPr>
                <w:sz w:val="19"/>
                <w:szCs w:val="19"/>
                <w:color w:val="auto"/>
              </w:rPr>
            </w:pPr>
          </w:p>
        </w:tc>
        <w:tc>
          <w:tcPr>
            <w:tcW w:w="200" w:type="dxa"/>
            <w:vAlign w:val="bottom"/>
            <w:shd w:val="clear" w:color="auto" w:fill="CCFFFF"/>
          </w:tcPr>
          <w:p>
            <w:pPr>
              <w:spacing w:after="0"/>
              <w:rPr>
                <w:sz w:val="19"/>
                <w:szCs w:val="19"/>
                <w:color w:val="auto"/>
              </w:rPr>
            </w:pPr>
          </w:p>
        </w:tc>
        <w:tc>
          <w:tcPr>
            <w:tcW w:w="126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60" w:type="dxa"/>
            <w:vAlign w:val="bottom"/>
            <w:shd w:val="clear" w:color="auto" w:fill="CCFFFF"/>
          </w:tcPr>
          <w:p>
            <w:pPr>
              <w:spacing w:after="0"/>
              <w:rPr>
                <w:sz w:val="19"/>
                <w:szCs w:val="19"/>
                <w:color w:val="auto"/>
              </w:rPr>
            </w:pPr>
          </w:p>
        </w:tc>
        <w:tc>
          <w:tcPr>
            <w:tcW w:w="132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34,107,851 shares outstanding as of September 30, 2019</w:t>
            </w:r>
          </w:p>
        </w:tc>
        <w:tc>
          <w:tcPr>
            <w:tcW w:w="240" w:type="dxa"/>
            <w:vAlign w:val="bottom"/>
            <w:tcBorders>
              <w:bottom w:val="single" w:sz="8" w:color="CCFFFF"/>
            </w:tcBorders>
            <w:shd w:val="clear" w:color="auto" w:fill="CCFFFF"/>
          </w:tcPr>
          <w:p>
            <w:pPr>
              <w:spacing w:after="0"/>
              <w:rPr>
                <w:sz w:val="19"/>
                <w:szCs w:val="19"/>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FFFF"/>
            </w:tcBorders>
            <w:shd w:val="clear" w:color="auto" w:fill="CCFFFF"/>
          </w:tcPr>
          <w:p>
            <w:pPr>
              <w:spacing w:after="0"/>
              <w:rPr>
                <w:sz w:val="19"/>
                <w:szCs w:val="19"/>
                <w:color w:val="auto"/>
              </w:rPr>
            </w:pPr>
          </w:p>
        </w:tc>
        <w:tc>
          <w:tcPr>
            <w:tcW w:w="200" w:type="dxa"/>
            <w:vAlign w:val="bottom"/>
            <w:tcBorders>
              <w:bottom w:val="single" w:sz="8" w:color="CCFFFF"/>
            </w:tcBorders>
            <w:shd w:val="clear" w:color="auto" w:fill="CCFFFF"/>
          </w:tcPr>
          <w:p>
            <w:pPr>
              <w:spacing w:after="0"/>
              <w:rPr>
                <w:sz w:val="19"/>
                <w:szCs w:val="19"/>
                <w:color w:val="auto"/>
              </w:rPr>
            </w:pPr>
          </w:p>
        </w:tc>
        <w:tc>
          <w:tcPr>
            <w:tcW w:w="1360" w:type="dxa"/>
            <w:vAlign w:val="bottom"/>
            <w:tcBorders>
              <w:bottom w:val="single" w:sz="8" w:color="CCFFFF"/>
            </w:tcBorders>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FFFF"/>
            </w:tcBorders>
            <w:shd w:val="clear" w:color="auto" w:fill="CCFFFF"/>
          </w:tcPr>
          <w:p>
            <w:pPr>
              <w:spacing w:after="0"/>
              <w:rPr>
                <w:sz w:val="19"/>
                <w:szCs w:val="19"/>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386,060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386,060</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530,547</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529,536</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(86,153)</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Total including shares held in treasury</w:t>
            </w:r>
          </w:p>
        </w:tc>
        <w:tc>
          <w:tcPr>
            <w:tcW w:w="240" w:type="dxa"/>
            <w:vAlign w:val="bottom"/>
            <w:tcBorders>
              <w:bottom w:val="single" w:sz="8" w:color="CCFFFF"/>
            </w:tcBorders>
            <w:shd w:val="clear" w:color="auto" w:fill="CCFFFF"/>
          </w:tcPr>
          <w:p>
            <w:pPr>
              <w:spacing w:after="0"/>
              <w:rPr>
                <w:sz w:val="21"/>
                <w:szCs w:val="21"/>
                <w:color w:val="auto"/>
              </w:rPr>
            </w:pP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830,492</w:t>
            </w:r>
          </w:p>
        </w:tc>
        <w:tc>
          <w:tcPr>
            <w:tcW w:w="120" w:type="dxa"/>
            <w:vAlign w:val="bottom"/>
            <w:tcBorders>
              <w:bottom w:val="single" w:sz="8" w:color="CCFFFF"/>
            </w:tcBorders>
            <w:shd w:val="clear" w:color="auto" w:fill="CCFFFF"/>
          </w:tcPr>
          <w:p>
            <w:pPr>
              <w:spacing w:after="0"/>
              <w:rPr>
                <w:sz w:val="21"/>
                <w:szCs w:val="21"/>
                <w:color w:val="auto"/>
              </w:rPr>
            </w:pPr>
          </w:p>
        </w:tc>
        <w:tc>
          <w:tcPr>
            <w:tcW w:w="200" w:type="dxa"/>
            <w:vAlign w:val="bottom"/>
            <w:tcBorders>
              <w:bottom w:val="single" w:sz="8" w:color="CCFFFF"/>
            </w:tcBorders>
            <w:shd w:val="clear" w:color="auto" w:fill="CCFFFF"/>
          </w:tcPr>
          <w:p>
            <w:pPr>
              <w:spacing w:after="0"/>
              <w:rPr>
                <w:sz w:val="21"/>
                <w:szCs w:val="21"/>
                <w:color w:val="auto"/>
              </w:rPr>
            </w:pP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tcBorders>
              <w:bottom w:val="single" w:sz="8" w:color="CCFFFF"/>
            </w:tcBorders>
            <w:shd w:val="clear" w:color="auto" w:fill="CCFFFF"/>
          </w:tcPr>
          <w:p>
            <w:pPr>
              <w:spacing w:after="0"/>
              <w:rPr>
                <w:sz w:val="21"/>
                <w:szCs w:val="21"/>
                <w:color w:val="auto"/>
              </w:rPr>
            </w:pPr>
          </w:p>
        </w:tc>
        <w:tc>
          <w:tcPr>
            <w:tcW w:w="260" w:type="dxa"/>
            <w:vAlign w:val="bottom"/>
            <w:tcBorders>
              <w:bottom w:val="single" w:sz="8" w:color="CCFFFF"/>
            </w:tcBorders>
            <w:shd w:val="clear" w:color="auto" w:fill="CCFFFF"/>
          </w:tcPr>
          <w:p>
            <w:pPr>
              <w:spacing w:after="0"/>
              <w:rPr>
                <w:sz w:val="21"/>
                <w:szCs w:val="21"/>
                <w:color w:val="auto"/>
              </w:rPr>
            </w:pP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829,481</w:t>
            </w:r>
          </w:p>
        </w:tc>
        <w:tc>
          <w:tcPr>
            <w:tcW w:w="0" w:type="dxa"/>
            <w:vAlign w:val="bottom"/>
          </w:tcPr>
          <w:p>
            <w:pPr>
              <w:spacing w:after="0"/>
              <w:rPr>
                <w:sz w:val="1"/>
                <w:szCs w:val="1"/>
                <w:color w:val="auto"/>
              </w:rPr>
            </w:pPr>
          </w:p>
        </w:tc>
      </w:tr>
      <w:tr>
        <w:trPr>
          <w:trHeight w:val="217"/>
        </w:trPr>
        <w:tc>
          <w:tcPr>
            <w:tcW w:w="6780" w:type="dxa"/>
            <w:vAlign w:val="bottom"/>
          </w:tcPr>
          <w:p>
            <w:pPr>
              <w:ind w:left="40"/>
              <w:spacing w:after="0"/>
              <w:rPr>
                <w:sz w:val="20"/>
                <w:szCs w:val="20"/>
                <w:color w:val="auto"/>
              </w:rPr>
            </w:pPr>
            <w:r>
              <w:rPr>
                <w:rFonts w:ascii="Arial" w:cs="Arial" w:eastAsia="Arial" w:hAnsi="Arial"/>
                <w:sz w:val="16"/>
                <w:szCs w:val="16"/>
                <w:color w:val="auto"/>
              </w:rPr>
              <w:t>Less: 4,214,503 shares as of September 30, 2019, held in treasury, at cost</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(182,809)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(182,809)</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647,683</w:t>
            </w:r>
          </w:p>
        </w:tc>
        <w:tc>
          <w:tcPr>
            <w:tcW w:w="120" w:type="dxa"/>
            <w:vAlign w:val="bottom"/>
            <w:tcBorders>
              <w:bottom w:val="single" w:sz="8" w:color="CCFFFF"/>
            </w:tcBorders>
            <w:shd w:val="clear" w:color="auto" w:fill="CCFFFF"/>
          </w:tcPr>
          <w:p>
            <w:pPr>
              <w:spacing w:after="0"/>
              <w:rPr>
                <w:sz w:val="20"/>
                <w:szCs w:val="20"/>
                <w:color w:val="auto"/>
              </w:rPr>
            </w:pPr>
          </w:p>
        </w:tc>
        <w:tc>
          <w:tcPr>
            <w:tcW w:w="20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tcBorders>
              <w:bottom w:val="single" w:sz="8" w:color="CCFFFF"/>
            </w:tcBorders>
            <w:shd w:val="clear" w:color="auto" w:fill="CCFFFF"/>
          </w:tcPr>
          <w:p>
            <w:pPr>
              <w:spacing w:after="0"/>
              <w:rPr>
                <w:sz w:val="20"/>
                <w:szCs w:val="20"/>
                <w:color w:val="auto"/>
              </w:rPr>
            </w:pPr>
          </w:p>
        </w:tc>
        <w:tc>
          <w:tcPr>
            <w:tcW w:w="260" w:type="dxa"/>
            <w:vAlign w:val="bottom"/>
            <w:tcBorders>
              <w:bottom w:val="single" w:sz="8" w:color="CCFFFF"/>
            </w:tcBorders>
            <w:shd w:val="clear" w:color="auto" w:fill="CCFF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646,672</w:t>
            </w:r>
          </w:p>
        </w:tc>
        <w:tc>
          <w:tcPr>
            <w:tcW w:w="0" w:type="dxa"/>
            <w:vAlign w:val="bottom"/>
          </w:tcPr>
          <w:p>
            <w:pPr>
              <w:spacing w:after="0"/>
              <w:rPr>
                <w:sz w:val="1"/>
                <w:szCs w:val="1"/>
                <w:color w:val="auto"/>
              </w:rPr>
            </w:pP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647,683</w:t>
            </w:r>
          </w:p>
        </w:tc>
        <w:tc>
          <w:tcPr>
            <w:tcW w:w="120" w:type="dxa"/>
            <w:vAlign w:val="bottom"/>
            <w:tcBorders>
              <w:bottom w:val="single" w:sz="8" w:color="CCFFFF"/>
            </w:tcBorders>
            <w:shd w:val="clear" w:color="auto" w:fill="CCFFFF"/>
          </w:tcPr>
          <w:p>
            <w:pPr>
              <w:spacing w:after="0"/>
              <w:rPr>
                <w:sz w:val="23"/>
                <w:szCs w:val="23"/>
                <w:color w:val="auto"/>
              </w:rPr>
            </w:pPr>
          </w:p>
        </w:tc>
        <w:tc>
          <w:tcPr>
            <w:tcW w:w="20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rPr>
              <w:t>(1,011)</w:t>
            </w:r>
          </w:p>
        </w:tc>
        <w:tc>
          <w:tcPr>
            <w:tcW w:w="100" w:type="dxa"/>
            <w:vAlign w:val="bottom"/>
            <w:tcBorders>
              <w:bottom w:val="single" w:sz="8" w:color="CCFFFF"/>
            </w:tcBorders>
            <w:shd w:val="clear" w:color="auto" w:fill="CCFFFF"/>
          </w:tcPr>
          <w:p>
            <w:pPr>
              <w:spacing w:after="0"/>
              <w:rPr>
                <w:sz w:val="23"/>
                <w:szCs w:val="23"/>
                <w:color w:val="auto"/>
              </w:rPr>
            </w:pPr>
          </w:p>
        </w:tc>
        <w:tc>
          <w:tcPr>
            <w:tcW w:w="260" w:type="dxa"/>
            <w:vAlign w:val="bottom"/>
            <w:tcBorders>
              <w:bottom w:val="single" w:sz="8" w:color="CCFFFF"/>
            </w:tcBorders>
            <w:shd w:val="clear" w:color="auto" w:fill="CCFF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646,672</w:t>
            </w:r>
          </w:p>
        </w:tc>
        <w:tc>
          <w:tcPr>
            <w:tcW w:w="0" w:type="dxa"/>
            <w:vAlign w:val="bottom"/>
          </w:tcPr>
          <w:p>
            <w:pPr>
              <w:spacing w:after="0"/>
              <w:rPr>
                <w:sz w:val="1"/>
                <w:szCs w:val="1"/>
                <w:color w:val="auto"/>
              </w:rPr>
            </w:pPr>
          </w:p>
        </w:tc>
      </w:tr>
      <w:tr>
        <w:trPr>
          <w:trHeight w:val="244"/>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1,145,978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1,143,889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20" w:right="239" w:bottom="616"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Health</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Integrated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Reported</w:t>
            </w:r>
          </w:p>
        </w:tc>
        <w:tc>
          <w:tcPr>
            <w:tcW w:w="14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Adjustments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Pro Forma</w:t>
            </w:r>
          </w:p>
        </w:tc>
      </w:tr>
      <w:tr>
        <w:trPr>
          <w:trHeight w:val="33"/>
        </w:trPr>
        <w:tc>
          <w:tcPr>
            <w:tcW w:w="6860" w:type="dxa"/>
            <w:vAlign w:val="bottom"/>
            <w:tcBorders>
              <w:bottom w:val="single" w:sz="8" w:color="CC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CC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Revenues, net</w:t>
            </w:r>
          </w:p>
        </w:tc>
        <w:tc>
          <w:tcPr>
            <w:tcW w:w="2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734,474</w:t>
            </w:r>
          </w:p>
        </w:tc>
        <w:tc>
          <w:tcPr>
            <w:tcW w:w="120" w:type="dxa"/>
            <w:vAlign w:val="bottom"/>
            <w:tcBorders>
              <w:bottom w:val="single" w:sz="8" w:color="CCFFFF"/>
            </w:tcBorders>
            <w:shd w:val="clear" w:color="auto" w:fill="CCFFFF"/>
          </w:tcPr>
          <w:p>
            <w:pPr>
              <w:spacing w:after="0"/>
              <w:rPr>
                <w:sz w:val="20"/>
                <w:szCs w:val="20"/>
                <w:color w:val="auto"/>
              </w:rPr>
            </w:pPr>
          </w:p>
        </w:tc>
        <w:tc>
          <w:tcPr>
            <w:tcW w:w="14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(9,699)</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(a)</w:t>
            </w:r>
          </w:p>
        </w:tc>
        <w:tc>
          <w:tcPr>
            <w:tcW w:w="1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724,775</w:t>
            </w:r>
          </w:p>
        </w:tc>
      </w:tr>
      <w:tr>
        <w:trPr>
          <w:trHeight w:val="270"/>
        </w:trPr>
        <w:tc>
          <w:tcPr>
            <w:tcW w:w="6860" w:type="dxa"/>
            <w:vAlign w:val="bottom"/>
            <w:tcBorders>
              <w:bottom w:val="single" w:sz="8" w:color="CCFF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487,228</w:t>
            </w:r>
          </w:p>
        </w:tc>
        <w:tc>
          <w:tcPr>
            <w:tcW w:w="120" w:type="dxa"/>
            <w:vAlign w:val="bottom"/>
            <w:tcBorders>
              <w:bottom w:val="single" w:sz="8" w:color="CC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(13,322)</w:t>
            </w:r>
          </w:p>
        </w:tc>
        <w:tc>
          <w:tcPr>
            <w:tcW w:w="660" w:type="dxa"/>
            <w:vAlign w:val="bottom"/>
            <w:tcBorders>
              <w:bottom w:val="single" w:sz="8" w:color="CCFFFF"/>
            </w:tcBorders>
          </w:tcPr>
          <w:p>
            <w:pPr>
              <w:ind w:left="240"/>
              <w:spacing w:after="0"/>
              <w:rPr>
                <w:sz w:val="20"/>
                <w:szCs w:val="20"/>
                <w:color w:val="auto"/>
              </w:rPr>
            </w:pPr>
            <w:r>
              <w:rPr>
                <w:rFonts w:ascii="Arial" w:cs="Arial" w:eastAsia="Arial" w:hAnsi="Arial"/>
                <w:sz w:val="16"/>
                <w:szCs w:val="16"/>
                <w:color w:val="auto"/>
              </w:rPr>
              <w:t>(a)</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473,906</w:t>
            </w:r>
          </w:p>
        </w:tc>
      </w:tr>
      <w:tr>
        <w:trPr>
          <w:trHeight w:val="250"/>
        </w:trPr>
        <w:tc>
          <w:tcPr>
            <w:tcW w:w="6860" w:type="dxa"/>
            <w:vAlign w:val="bottom"/>
            <w:shd w:val="clear" w:color="auto" w:fill="CCFFFF"/>
          </w:tcPr>
          <w:p>
            <w:pPr>
              <w:ind w:left="40"/>
              <w:spacing w:after="0"/>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FFFF"/>
          </w:tcPr>
          <w:p>
            <w:pPr>
              <w:spacing w:after="0"/>
              <w:rPr>
                <w:sz w:val="21"/>
                <w:szCs w:val="21"/>
                <w:color w:val="auto"/>
              </w:rPr>
            </w:pPr>
          </w:p>
        </w:tc>
        <w:tc>
          <w:tcPr>
            <w:tcW w:w="10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247,246</w:t>
            </w:r>
          </w:p>
        </w:tc>
        <w:tc>
          <w:tcPr>
            <w:tcW w:w="120" w:type="dxa"/>
            <w:vAlign w:val="bottom"/>
            <w:shd w:val="clear" w:color="auto" w:fill="CCFFFF"/>
          </w:tcPr>
          <w:p>
            <w:pPr>
              <w:spacing w:after="0"/>
              <w:rPr>
                <w:sz w:val="21"/>
                <w:szCs w:val="21"/>
                <w:color w:val="auto"/>
              </w:rPr>
            </w:pPr>
          </w:p>
        </w:tc>
        <w:tc>
          <w:tcPr>
            <w:tcW w:w="140" w:type="dxa"/>
            <w:vAlign w:val="bottom"/>
            <w:tcBorders>
              <w:bottom w:val="single" w:sz="8" w:color="auto"/>
            </w:tcBorders>
            <w:shd w:val="clear" w:color="auto" w:fill="CCFFFF"/>
          </w:tcPr>
          <w:p>
            <w:pPr>
              <w:spacing w:after="0"/>
              <w:rPr>
                <w:sz w:val="21"/>
                <w:szCs w:val="21"/>
                <w:color w:val="auto"/>
              </w:rPr>
            </w:pPr>
          </w:p>
        </w:tc>
        <w:tc>
          <w:tcPr>
            <w:tcW w:w="110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3,623</w:t>
            </w:r>
          </w:p>
        </w:tc>
        <w:tc>
          <w:tcPr>
            <w:tcW w:w="660" w:type="dxa"/>
            <w:vAlign w:val="bottom"/>
            <w:shd w:val="clear" w:color="auto" w:fill="CCFFFF"/>
          </w:tcPr>
          <w:p>
            <w:pPr>
              <w:spacing w:after="0"/>
              <w:rPr>
                <w:sz w:val="21"/>
                <w:szCs w:val="21"/>
                <w:color w:val="auto"/>
              </w:rPr>
            </w:pPr>
          </w:p>
        </w:tc>
        <w:tc>
          <w:tcPr>
            <w:tcW w:w="180" w:type="dxa"/>
            <w:vAlign w:val="bottom"/>
            <w:tcBorders>
              <w:bottom w:val="single" w:sz="8" w:color="auto"/>
            </w:tcBorders>
            <w:shd w:val="clear" w:color="auto" w:fill="CCFFFF"/>
          </w:tcPr>
          <w:p>
            <w:pPr>
              <w:spacing w:after="0"/>
              <w:rPr>
                <w:sz w:val="21"/>
                <w:szCs w:val="21"/>
                <w:color w:val="auto"/>
              </w:rPr>
            </w:pPr>
          </w:p>
        </w:tc>
        <w:tc>
          <w:tcPr>
            <w:tcW w:w="106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250,869</w:t>
            </w: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Borders>
              <w:bottom w:val="single" w:sz="8" w:color="CCFFFF"/>
            </w:tcBorders>
            <w:shd w:val="clear" w:color="auto" w:fill="CCFFFF"/>
          </w:tcPr>
          <w:p>
            <w:pPr>
              <w:spacing w:after="0"/>
              <w:rPr>
                <w:sz w:val="21"/>
                <w:szCs w:val="21"/>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93,349</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(4,203)</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(a)</w:t>
            </w: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89,146</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Selling and marketing expenses</w:t>
            </w:r>
          </w:p>
        </w:tc>
        <w:tc>
          <w:tcPr>
            <w:tcW w:w="2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660" w:type="dxa"/>
            <w:vAlign w:val="bottom"/>
          </w:tcPr>
          <w:p>
            <w:pPr>
              <w:ind w:left="240"/>
              <w:spacing w:after="0"/>
              <w:rPr>
                <w:sz w:val="20"/>
                <w:szCs w:val="20"/>
                <w:color w:val="auto"/>
              </w:rPr>
            </w:pPr>
            <w:r>
              <w:rPr>
                <w:rFonts w:ascii="Arial" w:cs="Arial" w:eastAsia="Arial" w:hAnsi="Arial"/>
                <w:sz w:val="16"/>
                <w:szCs w:val="16"/>
                <w:color w:val="auto"/>
              </w:rPr>
              <w:t>(a)</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53,682</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FFFF"/>
            </w:tcBorders>
            <w:shd w:val="clear" w:color="auto" w:fill="CCFFFF"/>
          </w:tcPr>
          <w:p>
            <w:pPr>
              <w:spacing w:after="0"/>
              <w:rPr>
                <w:sz w:val="21"/>
                <w:szCs w:val="21"/>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39,466</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(584)</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(a)</w:t>
            </w: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38,882</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Impairment and restructuring charges</w:t>
            </w:r>
          </w:p>
        </w:tc>
        <w:tc>
          <w:tcPr>
            <w:tcW w:w="2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(7,296)</w:t>
            </w:r>
          </w:p>
        </w:tc>
        <w:tc>
          <w:tcPr>
            <w:tcW w:w="660" w:type="dxa"/>
            <w:vAlign w:val="bottom"/>
          </w:tcPr>
          <w:p>
            <w:pPr>
              <w:ind w:left="240"/>
              <w:spacing w:after="0"/>
              <w:rPr>
                <w:sz w:val="20"/>
                <w:szCs w:val="20"/>
                <w:color w:val="auto"/>
              </w:rPr>
            </w:pPr>
            <w:r>
              <w:rPr>
                <w:rFonts w:ascii="Arial" w:cs="Arial" w:eastAsia="Arial" w:hAnsi="Arial"/>
                <w:sz w:val="16"/>
                <w:szCs w:val="16"/>
                <w:color w:val="auto"/>
              </w:rPr>
              <w:t>(b)</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Borders>
              <w:bottom w:val="single" w:sz="8" w:color="CC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CC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CCFFFF"/>
            </w:tcBorders>
            <w:shd w:val="clear" w:color="auto" w:fill="CCFFFF"/>
          </w:tcPr>
          <w:p>
            <w:pPr>
              <w:spacing w:after="0"/>
              <w:rPr>
                <w:sz w:val="21"/>
                <w:szCs w:val="21"/>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194,107</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(12,397)</w:t>
            </w: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181,710</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53,139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16,020</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69,159</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Foreign exchange gain, net</w:t>
            </w:r>
          </w:p>
        </w:tc>
        <w:tc>
          <w:tcPr>
            <w:tcW w:w="220" w:type="dxa"/>
            <w:vAlign w:val="bottom"/>
            <w:tcBorders>
              <w:bottom w:val="single" w:sz="8" w:color="CCFFFF"/>
            </w:tcBorders>
            <w:shd w:val="clear" w:color="auto" w:fill="CCFFFF"/>
          </w:tcPr>
          <w:p>
            <w:pPr>
              <w:spacing w:after="0"/>
              <w:rPr>
                <w:sz w:val="21"/>
                <w:szCs w:val="21"/>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3,471</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3,471</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(10,626)</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CCFFFF"/>
            </w:tcBorders>
            <w:shd w:val="clear" w:color="auto" w:fill="CCFFFF"/>
          </w:tcPr>
          <w:p>
            <w:pPr>
              <w:spacing w:after="0"/>
              <w:rPr>
                <w:sz w:val="23"/>
                <w:szCs w:val="23"/>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13,088</w:t>
            </w:r>
          </w:p>
        </w:tc>
        <w:tc>
          <w:tcPr>
            <w:tcW w:w="120" w:type="dxa"/>
            <w:vAlign w:val="bottom"/>
            <w:tcBorders>
              <w:bottom w:val="single" w:sz="8" w:color="CCFFFF"/>
            </w:tcBorders>
            <w:shd w:val="clear" w:color="auto" w:fill="CCFFFF"/>
          </w:tcPr>
          <w:p>
            <w:pPr>
              <w:spacing w:after="0"/>
              <w:rPr>
                <w:sz w:val="23"/>
                <w:szCs w:val="23"/>
                <w:color w:val="auto"/>
              </w:rPr>
            </w:pPr>
          </w:p>
        </w:tc>
        <w:tc>
          <w:tcPr>
            <w:tcW w:w="140" w:type="dxa"/>
            <w:vAlign w:val="bottom"/>
            <w:tcBorders>
              <w:bottom w:val="single" w:sz="8" w:color="CCFFFF"/>
            </w:tcBorders>
            <w:shd w:val="clear" w:color="auto" w:fill="CCFFFF"/>
          </w:tcPr>
          <w:p>
            <w:pPr>
              <w:spacing w:after="0"/>
              <w:rPr>
                <w:sz w:val="23"/>
                <w:szCs w:val="23"/>
                <w:color w:val="auto"/>
              </w:rPr>
            </w:pPr>
          </w:p>
        </w:tc>
        <w:tc>
          <w:tcPr>
            <w:tcW w:w="1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(822)</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(a)</w:t>
            </w: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12,266</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 expense and earnings from equity affiliate</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59,072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15,199</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74,271</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FFFF"/>
            </w:tcBorders>
            <w:shd w:val="clear" w:color="auto" w:fill="CCFFFF"/>
          </w:tcPr>
          <w:p>
            <w:pPr>
              <w:spacing w:after="0"/>
              <w:rPr>
                <w:sz w:val="23"/>
                <w:szCs w:val="23"/>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12,571</w:t>
            </w:r>
          </w:p>
        </w:tc>
        <w:tc>
          <w:tcPr>
            <w:tcW w:w="120" w:type="dxa"/>
            <w:vAlign w:val="bottom"/>
            <w:tcBorders>
              <w:bottom w:val="single" w:sz="8" w:color="CCFFFF"/>
            </w:tcBorders>
            <w:shd w:val="clear" w:color="auto" w:fill="CCFFFF"/>
          </w:tcPr>
          <w:p>
            <w:pPr>
              <w:spacing w:after="0"/>
              <w:rPr>
                <w:sz w:val="23"/>
                <w:szCs w:val="23"/>
                <w:color w:val="auto"/>
              </w:rPr>
            </w:pPr>
          </w:p>
        </w:tc>
        <w:tc>
          <w:tcPr>
            <w:tcW w:w="140" w:type="dxa"/>
            <w:vAlign w:val="bottom"/>
            <w:tcBorders>
              <w:bottom w:val="single" w:sz="8" w:color="CCFFFF"/>
            </w:tcBorders>
            <w:shd w:val="clear" w:color="auto" w:fill="CCFFFF"/>
          </w:tcPr>
          <w:p>
            <w:pPr>
              <w:spacing w:after="0"/>
              <w:rPr>
                <w:sz w:val="23"/>
                <w:szCs w:val="23"/>
                <w:color w:val="auto"/>
              </w:rPr>
            </w:pPr>
          </w:p>
        </w:tc>
        <w:tc>
          <w:tcPr>
            <w:tcW w:w="110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3,612</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(c)</w:t>
            </w: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16,183</w:t>
            </w:r>
          </w:p>
        </w:tc>
      </w:tr>
      <w:tr>
        <w:trPr>
          <w:trHeight w:val="217"/>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Income before earnings from equity affiliates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46,501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11,587</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58,088</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Loss from equity-method investment</w:t>
            </w:r>
          </w:p>
        </w:tc>
        <w:tc>
          <w:tcPr>
            <w:tcW w:w="220" w:type="dxa"/>
            <w:vAlign w:val="bottom"/>
            <w:tcBorders>
              <w:bottom w:val="single" w:sz="8" w:color="CCFFFF"/>
            </w:tcBorders>
            <w:shd w:val="clear" w:color="auto" w:fill="CCFFFF"/>
          </w:tcPr>
          <w:p>
            <w:pPr>
              <w:spacing w:after="0"/>
              <w:rPr>
                <w:sz w:val="23"/>
                <w:szCs w:val="23"/>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FFFF"/>
            </w:tcBorders>
            <w:shd w:val="clear" w:color="auto" w:fill="CCFFFF"/>
          </w:tcPr>
          <w:p>
            <w:pPr>
              <w:spacing w:after="0"/>
              <w:rPr>
                <w:sz w:val="23"/>
                <w:szCs w:val="23"/>
                <w:color w:val="auto"/>
              </w:rPr>
            </w:pPr>
          </w:p>
        </w:tc>
        <w:tc>
          <w:tcPr>
            <w:tcW w:w="140" w:type="dxa"/>
            <w:vAlign w:val="bottom"/>
            <w:tcBorders>
              <w:bottom w:val="single" w:sz="8" w:color="CCFFFF"/>
            </w:tcBorders>
            <w:shd w:val="clear" w:color="auto" w:fill="CCFFFF"/>
          </w:tcPr>
          <w:p>
            <w:pPr>
              <w:spacing w:after="0"/>
              <w:rPr>
                <w:sz w:val="23"/>
                <w:szCs w:val="23"/>
                <w:color w:val="auto"/>
              </w:rPr>
            </w:pPr>
          </w:p>
        </w:tc>
        <w:tc>
          <w:tcPr>
            <w:tcW w:w="110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FF"/>
            </w:tcBorders>
            <w:shd w:val="clear" w:color="auto" w:fill="CCFFFF"/>
          </w:tcPr>
          <w:p>
            <w:pPr>
              <w:spacing w:after="0"/>
              <w:rPr>
                <w:sz w:val="23"/>
                <w:szCs w:val="23"/>
                <w:color w:val="auto"/>
              </w:rPr>
            </w:pP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198</w:t>
            </w:r>
          </w:p>
        </w:tc>
      </w:tr>
      <w:tr>
        <w:trPr>
          <w:trHeight w:val="284"/>
        </w:trPr>
        <w:tc>
          <w:tcPr>
            <w:tcW w:w="6860" w:type="dxa"/>
            <w:vAlign w:val="bottom"/>
            <w:tcBorders>
              <w:bottom w:val="single" w:sz="8" w:color="CCFFFF"/>
            </w:tcBorders>
          </w:tcPr>
          <w:p>
            <w:pPr>
              <w:ind w:left="40"/>
              <w:spacing w:after="0"/>
              <w:rPr>
                <w:sz w:val="20"/>
                <w:szCs w:val="20"/>
                <w:color w:val="auto"/>
              </w:rPr>
            </w:pPr>
            <w:r>
              <w:rPr>
                <w:rFonts w:ascii="Arial" w:cs="Arial" w:eastAsia="Arial" w:hAnsi="Arial"/>
                <w:sz w:val="16"/>
                <w:szCs w:val="16"/>
                <w:b w:val="1"/>
                <w:bCs w:val="1"/>
                <w:color w:val="auto"/>
              </w:rPr>
              <w:t>Net income attributable to ExlService Holdings, Inc. stockholders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46,303</w:t>
            </w:r>
          </w:p>
        </w:tc>
        <w:tc>
          <w:tcPr>
            <w:tcW w:w="120" w:type="dxa"/>
            <w:vAlign w:val="bottom"/>
            <w:tcBorders>
              <w:bottom w:val="single" w:sz="8" w:color="CC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11,587</w:t>
            </w:r>
          </w:p>
        </w:tc>
        <w:tc>
          <w:tcPr>
            <w:tcW w:w="660" w:type="dxa"/>
            <w:vAlign w:val="bottom"/>
            <w:tcBorders>
              <w:bottom w:val="single" w:sz="8" w:color="CC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57,890</w:t>
            </w:r>
          </w:p>
        </w:tc>
      </w:tr>
      <w:tr>
        <w:trPr>
          <w:trHeight w:val="237"/>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Earnings per share attributable to ExlService Holdings, Inc. stockholders:</w:t>
            </w:r>
          </w:p>
        </w:tc>
        <w:tc>
          <w:tcPr>
            <w:tcW w:w="220" w:type="dxa"/>
            <w:vAlign w:val="bottom"/>
            <w:tcBorders>
              <w:bottom w:val="single" w:sz="8" w:color="CCFFFF"/>
            </w:tcBorders>
            <w:shd w:val="clear" w:color="auto" w:fill="CCFFFF"/>
          </w:tcPr>
          <w:p>
            <w:pPr>
              <w:spacing w:after="0"/>
              <w:rPr>
                <w:sz w:val="20"/>
                <w:szCs w:val="20"/>
                <w:color w:val="auto"/>
              </w:rPr>
            </w:pPr>
          </w:p>
        </w:tc>
        <w:tc>
          <w:tcPr>
            <w:tcW w:w="1080" w:type="dxa"/>
            <w:vAlign w:val="bottom"/>
            <w:tcBorders>
              <w:bottom w:val="single" w:sz="8" w:color="CCFFFF"/>
            </w:tcBorders>
            <w:shd w:val="clear" w:color="auto" w:fill="CCFFFF"/>
          </w:tcPr>
          <w:p>
            <w:pPr>
              <w:spacing w:after="0"/>
              <w:rPr>
                <w:sz w:val="20"/>
                <w:szCs w:val="20"/>
                <w:color w:val="auto"/>
              </w:rPr>
            </w:pPr>
          </w:p>
        </w:tc>
        <w:tc>
          <w:tcPr>
            <w:tcW w:w="120" w:type="dxa"/>
            <w:vAlign w:val="bottom"/>
            <w:tcBorders>
              <w:bottom w:val="single" w:sz="8" w:color="CCFFFF"/>
            </w:tcBorders>
            <w:shd w:val="clear" w:color="auto" w:fill="CCFFFF"/>
          </w:tcPr>
          <w:p>
            <w:pPr>
              <w:spacing w:after="0"/>
              <w:rPr>
                <w:sz w:val="20"/>
                <w:szCs w:val="20"/>
                <w:color w:val="auto"/>
              </w:rPr>
            </w:pPr>
          </w:p>
        </w:tc>
        <w:tc>
          <w:tcPr>
            <w:tcW w:w="140" w:type="dxa"/>
            <w:vAlign w:val="bottom"/>
            <w:tcBorders>
              <w:bottom w:val="single" w:sz="8" w:color="CCFFFF"/>
            </w:tcBorders>
            <w:shd w:val="clear" w:color="auto" w:fill="CCFFFF"/>
          </w:tcPr>
          <w:p>
            <w:pPr>
              <w:spacing w:after="0"/>
              <w:rPr>
                <w:sz w:val="20"/>
                <w:szCs w:val="20"/>
                <w:color w:val="auto"/>
              </w:rPr>
            </w:pPr>
          </w:p>
        </w:tc>
        <w:tc>
          <w:tcPr>
            <w:tcW w:w="1100" w:type="dxa"/>
            <w:vAlign w:val="bottom"/>
            <w:tcBorders>
              <w:bottom w:val="single" w:sz="8" w:color="CCFFFF"/>
            </w:tcBorders>
            <w:shd w:val="clear" w:color="auto" w:fill="CCFFFF"/>
          </w:tcPr>
          <w:p>
            <w:pPr>
              <w:spacing w:after="0"/>
              <w:rPr>
                <w:sz w:val="20"/>
                <w:szCs w:val="20"/>
                <w:color w:val="auto"/>
              </w:rPr>
            </w:pPr>
          </w:p>
        </w:tc>
        <w:tc>
          <w:tcPr>
            <w:tcW w:w="660" w:type="dxa"/>
            <w:vAlign w:val="bottom"/>
            <w:tcBorders>
              <w:bottom w:val="single" w:sz="8" w:color="CCFFFF"/>
            </w:tcBorders>
            <w:shd w:val="clear" w:color="auto" w:fill="CCFFFF"/>
          </w:tcPr>
          <w:p>
            <w:pPr>
              <w:spacing w:after="0"/>
              <w:rPr>
                <w:sz w:val="20"/>
                <w:szCs w:val="20"/>
                <w:color w:val="auto"/>
              </w:rPr>
            </w:pPr>
          </w:p>
        </w:tc>
        <w:tc>
          <w:tcPr>
            <w:tcW w:w="180" w:type="dxa"/>
            <w:vAlign w:val="bottom"/>
            <w:tcBorders>
              <w:bottom w:val="single" w:sz="8" w:color="CCFFFF"/>
            </w:tcBorders>
            <w:shd w:val="clear" w:color="auto" w:fill="CCFFFF"/>
          </w:tcPr>
          <w:p>
            <w:pPr>
              <w:spacing w:after="0"/>
              <w:rPr>
                <w:sz w:val="20"/>
                <w:szCs w:val="20"/>
                <w:color w:val="auto"/>
              </w:rPr>
            </w:pPr>
          </w:p>
        </w:tc>
        <w:tc>
          <w:tcPr>
            <w:tcW w:w="1060" w:type="dxa"/>
            <w:vAlign w:val="bottom"/>
            <w:tcBorders>
              <w:bottom w:val="single" w:sz="8" w:color="CCFFFF"/>
            </w:tcBorders>
            <w:shd w:val="clear" w:color="auto" w:fill="CCFFFF"/>
          </w:tcPr>
          <w:p>
            <w:pPr>
              <w:spacing w:after="0"/>
              <w:rPr>
                <w:sz w:val="20"/>
                <w:szCs w:val="20"/>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1.68</w:t>
            </w: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spacing w:after="0"/>
              <w:rPr>
                <w:sz w:val="21"/>
                <w:szCs w:val="21"/>
                <w:color w:val="auto"/>
              </w:rPr>
            </w:pP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1.67</w:t>
            </w:r>
          </w:p>
        </w:tc>
      </w:tr>
      <w:tr>
        <w:trPr>
          <w:trHeight w:val="220"/>
        </w:trPr>
        <w:tc>
          <w:tcPr>
            <w:tcW w:w="6860" w:type="dxa"/>
            <w:vAlign w:val="bottom"/>
          </w:tcPr>
          <w:p>
            <w:pPr>
              <w:ind w:left="40"/>
              <w:spacing w:after="0"/>
              <w:rPr>
                <w:sz w:val="20"/>
                <w:szCs w:val="20"/>
                <w:color w:val="auto"/>
              </w:rPr>
            </w:pPr>
            <w:r>
              <w:rPr>
                <w:rFonts w:ascii="Arial" w:cs="Arial" w:eastAsia="Arial" w:hAnsi="Arial"/>
                <w:sz w:val="16"/>
                <w:szCs w:val="16"/>
                <w:color w:val="auto"/>
                <w:w w:val="95"/>
              </w:rPr>
              <w:t>Weighted-average number of shares used in computing earnings per share attributable to ExlService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6860" w:type="dxa"/>
            <w:vAlign w:val="bottom"/>
          </w:tcPr>
          <w:p>
            <w:pPr>
              <w:ind w:left="40"/>
              <w:spacing w:after="0"/>
              <w:rPr>
                <w:sz w:val="20"/>
                <w:szCs w:val="20"/>
                <w:color w:val="auto"/>
              </w:rPr>
            </w:pPr>
            <w:r>
              <w:rPr>
                <w:rFonts w:ascii="Arial" w:cs="Arial" w:eastAsia="Arial" w:hAnsi="Arial"/>
                <w:sz w:val="16"/>
                <w:szCs w:val="16"/>
                <w:color w:val="auto"/>
              </w:rPr>
              <w:t>Holdings Inc. stockholders: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FFFF"/>
            </w:tcBorders>
            <w:shd w:val="clear" w:color="auto" w:fill="CCFFFF"/>
          </w:tcPr>
          <w:p>
            <w:pPr>
              <w:spacing w:after="0"/>
              <w:rPr>
                <w:sz w:val="21"/>
                <w:szCs w:val="21"/>
                <w:color w:val="auto"/>
              </w:rPr>
            </w:pPr>
          </w:p>
        </w:tc>
        <w:tc>
          <w:tcPr>
            <w:tcW w:w="108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34,382,787</w:t>
            </w:r>
          </w:p>
        </w:tc>
        <w:tc>
          <w:tcPr>
            <w:tcW w:w="120" w:type="dxa"/>
            <w:vAlign w:val="bottom"/>
            <w:tcBorders>
              <w:bottom w:val="single" w:sz="8" w:color="CCFFFF"/>
            </w:tcBorders>
            <w:shd w:val="clear" w:color="auto" w:fill="CCFFFF"/>
          </w:tcPr>
          <w:p>
            <w:pPr>
              <w:spacing w:after="0"/>
              <w:rPr>
                <w:sz w:val="21"/>
                <w:szCs w:val="21"/>
                <w:color w:val="auto"/>
              </w:rPr>
            </w:pPr>
          </w:p>
        </w:tc>
        <w:tc>
          <w:tcPr>
            <w:tcW w:w="140" w:type="dxa"/>
            <w:vAlign w:val="bottom"/>
            <w:tcBorders>
              <w:bottom w:val="single" w:sz="8" w:color="CCFFFF"/>
            </w:tcBorders>
            <w:shd w:val="clear" w:color="auto" w:fill="CCFFFF"/>
          </w:tcPr>
          <w:p>
            <w:pPr>
              <w:spacing w:after="0"/>
              <w:rPr>
                <w:sz w:val="21"/>
                <w:szCs w:val="21"/>
                <w:color w:val="auto"/>
              </w:rPr>
            </w:pPr>
          </w:p>
        </w:tc>
        <w:tc>
          <w:tcPr>
            <w:tcW w:w="1100" w:type="dxa"/>
            <w:vAlign w:val="bottom"/>
            <w:tcBorders>
              <w:bottom w:val="single" w:sz="8" w:color="CCFFFF"/>
            </w:tcBorders>
            <w:shd w:val="clear" w:color="auto" w:fill="CCFFFF"/>
          </w:tcPr>
          <w:p>
            <w:pPr>
              <w:spacing w:after="0"/>
              <w:rPr>
                <w:sz w:val="21"/>
                <w:szCs w:val="21"/>
                <w:color w:val="auto"/>
              </w:rPr>
            </w:pP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34,382,787</w:t>
            </w: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34,744,968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34,744,968</w:t>
            </w:r>
          </w:p>
        </w:tc>
      </w:tr>
    </w:tbl>
    <w:p>
      <w:pPr>
        <w:spacing w:after="0" w:line="201"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Exclusive of depreciation and amortization.</w:t>
      </w:r>
    </w:p>
    <w:p>
      <w:pPr>
        <w:sectPr>
          <w:pgSz w:w="11900" w:h="16838" w:orient="portrait"/>
          <w:cols w:equalWidth="0" w:num="1">
            <w:col w:w="11420"/>
          </w:cols>
          <w:pgMar w:left="240" w:top="769" w:right="239" w:bottom="1440" w:gutter="0" w:footer="0" w:header="0"/>
        </w:sectPr>
      </w:pPr>
    </w:p>
    <w:bookmarkStart w:id="6" w:name="page7"/>
    <w:bookmarkEnd w:id="6"/>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6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SCIO Acquisition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Health Integrated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FFFF"/>
            </w:tcBorders>
          </w:tcPr>
          <w:p>
            <w:pPr>
              <w:spacing w:after="0"/>
              <w:rPr>
                <w:sz w:val="21"/>
                <w:szCs w:val="21"/>
                <w:color w:val="auto"/>
              </w:rPr>
            </w:pPr>
          </w:p>
        </w:tc>
        <w:tc>
          <w:tcPr>
            <w:tcW w:w="120" w:type="dxa"/>
            <w:vAlign w:val="bottom"/>
            <w:tcBorders>
              <w:bottom w:val="single" w:sz="8" w:color="CC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Reported</w:t>
            </w:r>
          </w:p>
        </w:tc>
        <w:tc>
          <w:tcPr>
            <w:tcW w:w="140" w:type="dxa"/>
            <w:vAlign w:val="bottom"/>
            <w:tcBorders>
              <w:bottom w:val="single" w:sz="8" w:color="CC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Adjustments</w:t>
            </w:r>
            <w:r>
              <w:rPr>
                <w:rFonts w:ascii="Arial" w:cs="Arial" w:eastAsia="Arial" w:hAnsi="Arial"/>
                <w:sz w:val="21"/>
                <w:szCs w:val="21"/>
                <w:b w:val="1"/>
                <w:bCs w:val="1"/>
                <w:color w:val="auto"/>
                <w:w w:val="96"/>
                <w:vertAlign w:val="superscript"/>
              </w:rPr>
              <w:t>(1)</w:t>
            </w:r>
          </w:p>
        </w:tc>
        <w:tc>
          <w:tcPr>
            <w:tcW w:w="580" w:type="dxa"/>
            <w:vAlign w:val="bottom"/>
            <w:tcBorders>
              <w:bottom w:val="single" w:sz="8" w:color="CC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660" w:type="dxa"/>
            <w:vAlign w:val="bottom"/>
            <w:tcBorders>
              <w:bottom w:val="single" w:sz="8" w:color="CC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Pro Forma</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Revenues, net</w:t>
            </w:r>
          </w:p>
        </w:tc>
        <w:tc>
          <w:tcPr>
            <w:tcW w:w="340" w:type="dxa"/>
            <w:vAlign w:val="bottom"/>
            <w:tcBorders>
              <w:bottom w:val="single" w:sz="8" w:color="CCFFFF"/>
            </w:tcBorders>
            <w:gridSpan w:val="2"/>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883,112</w:t>
            </w:r>
          </w:p>
        </w:tc>
        <w:tc>
          <w:tcPr>
            <w:tcW w:w="140" w:type="dxa"/>
            <w:vAlign w:val="bottom"/>
            <w:tcBorders>
              <w:bottom w:val="single" w:sz="8" w:color="CCFFFF"/>
            </w:tcBorders>
            <w:shd w:val="clear" w:color="auto" w:fill="CCFFFF"/>
          </w:tcPr>
          <w:p>
            <w:pPr>
              <w:spacing w:after="0"/>
              <w:rPr>
                <w:sz w:val="20"/>
                <w:szCs w:val="20"/>
                <w:color w:val="auto"/>
              </w:rPr>
            </w:pPr>
          </w:p>
        </w:tc>
        <w:tc>
          <w:tcPr>
            <w:tcW w:w="12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41,060</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(17,718)</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(b)</w:t>
            </w:r>
          </w:p>
        </w:tc>
        <w:tc>
          <w:tcPr>
            <w:tcW w:w="1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906,454</w:t>
            </w:r>
          </w:p>
        </w:tc>
        <w:tc>
          <w:tcPr>
            <w:tcW w:w="0" w:type="dxa"/>
            <w:vAlign w:val="bottom"/>
          </w:tcPr>
          <w:p>
            <w:pPr>
              <w:spacing w:after="0"/>
              <w:rPr>
                <w:sz w:val="1"/>
                <w:szCs w:val="1"/>
                <w:color w:val="auto"/>
              </w:rPr>
            </w:pPr>
          </w:p>
        </w:tc>
      </w:tr>
      <w:tr>
        <w:trPr>
          <w:trHeight w:val="270"/>
        </w:trPr>
        <w:tc>
          <w:tcPr>
            <w:tcW w:w="4460" w:type="dxa"/>
            <w:vAlign w:val="bottom"/>
            <w:tcBorders>
              <w:bottom w:val="single" w:sz="8" w:color="CCFF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(2)</w:t>
            </w:r>
          </w:p>
        </w:tc>
        <w:tc>
          <w:tcPr>
            <w:tcW w:w="120" w:type="dxa"/>
            <w:vAlign w:val="bottom"/>
            <w:tcBorders>
              <w:bottom w:val="single" w:sz="8" w:color="CC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584,855</w:t>
            </w:r>
          </w:p>
        </w:tc>
        <w:tc>
          <w:tcPr>
            <w:tcW w:w="140" w:type="dxa"/>
            <w:vAlign w:val="bottom"/>
            <w:tcBorders>
              <w:bottom w:val="single" w:sz="8" w:color="CC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24,771</w:t>
            </w:r>
          </w:p>
        </w:tc>
        <w:tc>
          <w:tcPr>
            <w:tcW w:w="580" w:type="dxa"/>
            <w:vAlign w:val="bottom"/>
            <w:tcBorders>
              <w:bottom w:val="single" w:sz="8" w:color="CCFFFF"/>
            </w:tcBorders>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(20,031)</w:t>
            </w:r>
          </w:p>
        </w:tc>
        <w:tc>
          <w:tcPr>
            <w:tcW w:w="660" w:type="dxa"/>
            <w:vAlign w:val="bottom"/>
            <w:tcBorders>
              <w:bottom w:val="single" w:sz="8" w:color="CCFFFF"/>
            </w:tcBorders>
          </w:tcPr>
          <w:p>
            <w:pPr>
              <w:ind w:left="240"/>
              <w:spacing w:after="0"/>
              <w:rPr>
                <w:sz w:val="20"/>
                <w:szCs w:val="20"/>
                <w:color w:val="auto"/>
              </w:rPr>
            </w:pPr>
            <w:r>
              <w:rPr>
                <w:rFonts w:ascii="Arial" w:cs="Arial" w:eastAsia="Arial" w:hAnsi="Arial"/>
                <w:sz w:val="16"/>
                <w:szCs w:val="16"/>
                <w:color w:val="auto"/>
              </w:rPr>
              <w:t>(b)</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589,595</w:t>
            </w:r>
          </w:p>
        </w:tc>
        <w:tc>
          <w:tcPr>
            <w:tcW w:w="0" w:type="dxa"/>
            <w:vAlign w:val="bottom"/>
          </w:tcPr>
          <w:p>
            <w:pPr>
              <w:spacing w:after="0"/>
              <w:rPr>
                <w:sz w:val="1"/>
                <w:szCs w:val="1"/>
                <w:color w:val="auto"/>
              </w:rPr>
            </w:pPr>
          </w:p>
        </w:tc>
      </w:tr>
      <w:tr>
        <w:trPr>
          <w:trHeight w:val="250"/>
        </w:trPr>
        <w:tc>
          <w:tcPr>
            <w:tcW w:w="4460" w:type="dxa"/>
            <w:vAlign w:val="bottom"/>
            <w:shd w:val="clear" w:color="auto" w:fill="CCFFFF"/>
          </w:tcPr>
          <w:p>
            <w:pPr>
              <w:ind w:left="40"/>
              <w:spacing w:after="0"/>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21"/>
                <w:szCs w:val="21"/>
                <w:b w:val="1"/>
                <w:bCs w:val="1"/>
                <w:color w:val="auto"/>
                <w:vertAlign w:val="superscript"/>
              </w:rPr>
              <w:t>(2)</w:t>
            </w:r>
          </w:p>
        </w:tc>
        <w:tc>
          <w:tcPr>
            <w:tcW w:w="120" w:type="dxa"/>
            <w:vAlign w:val="bottom"/>
            <w:shd w:val="clear" w:color="auto" w:fill="CCFFFF"/>
          </w:tcPr>
          <w:p>
            <w:pPr>
              <w:spacing w:after="0"/>
              <w:rPr>
                <w:sz w:val="21"/>
                <w:szCs w:val="21"/>
                <w:color w:val="auto"/>
              </w:rPr>
            </w:pPr>
          </w:p>
        </w:tc>
        <w:tc>
          <w:tcPr>
            <w:tcW w:w="220" w:type="dxa"/>
            <w:vAlign w:val="bottom"/>
            <w:tcBorders>
              <w:bottom w:val="single" w:sz="8" w:color="auto"/>
            </w:tcBorders>
            <w:shd w:val="clear" w:color="auto" w:fill="CCFFFF"/>
          </w:tcPr>
          <w:p>
            <w:pPr>
              <w:spacing w:after="0"/>
              <w:rPr>
                <w:sz w:val="21"/>
                <w:szCs w:val="21"/>
                <w:color w:val="auto"/>
              </w:rPr>
            </w:pPr>
          </w:p>
        </w:tc>
        <w:tc>
          <w:tcPr>
            <w:tcW w:w="106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298,257</w:t>
            </w:r>
          </w:p>
        </w:tc>
        <w:tc>
          <w:tcPr>
            <w:tcW w:w="140" w:type="dxa"/>
            <w:vAlign w:val="bottom"/>
            <w:shd w:val="clear" w:color="auto" w:fill="CCFFFF"/>
          </w:tcPr>
          <w:p>
            <w:pPr>
              <w:spacing w:after="0"/>
              <w:rPr>
                <w:sz w:val="21"/>
                <w:szCs w:val="21"/>
                <w:color w:val="auto"/>
              </w:rPr>
            </w:pPr>
          </w:p>
        </w:tc>
        <w:tc>
          <w:tcPr>
            <w:tcW w:w="120" w:type="dxa"/>
            <w:vAlign w:val="bottom"/>
            <w:tcBorders>
              <w:bottom w:val="single" w:sz="8" w:color="auto"/>
            </w:tcBorders>
            <w:shd w:val="clear" w:color="auto" w:fill="CCFFFF"/>
          </w:tcPr>
          <w:p>
            <w:pPr>
              <w:spacing w:after="0"/>
              <w:rPr>
                <w:sz w:val="21"/>
                <w:szCs w:val="21"/>
                <w:color w:val="auto"/>
              </w:rPr>
            </w:pPr>
          </w:p>
        </w:tc>
        <w:tc>
          <w:tcPr>
            <w:tcW w:w="136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16,289</w:t>
            </w:r>
          </w:p>
        </w:tc>
        <w:tc>
          <w:tcPr>
            <w:tcW w:w="580" w:type="dxa"/>
            <w:vAlign w:val="bottom"/>
            <w:shd w:val="clear" w:color="auto" w:fill="CCFFFF"/>
          </w:tcPr>
          <w:p>
            <w:pPr>
              <w:spacing w:after="0"/>
              <w:rPr>
                <w:sz w:val="21"/>
                <w:szCs w:val="21"/>
                <w:color w:val="auto"/>
              </w:rPr>
            </w:pPr>
          </w:p>
        </w:tc>
        <w:tc>
          <w:tcPr>
            <w:tcW w:w="100" w:type="dxa"/>
            <w:vAlign w:val="bottom"/>
            <w:tcBorders>
              <w:bottom w:val="single" w:sz="8" w:color="auto"/>
            </w:tcBorders>
            <w:shd w:val="clear" w:color="auto" w:fill="CCFFFF"/>
          </w:tcPr>
          <w:p>
            <w:pPr>
              <w:spacing w:after="0"/>
              <w:rPr>
                <w:sz w:val="21"/>
                <w:szCs w:val="21"/>
                <w:color w:val="auto"/>
              </w:rPr>
            </w:pPr>
          </w:p>
        </w:tc>
        <w:tc>
          <w:tcPr>
            <w:tcW w:w="136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b w:val="1"/>
                <w:bCs w:val="1"/>
                <w:color w:val="auto"/>
              </w:rPr>
              <w:t>2,313</w:t>
            </w:r>
          </w:p>
        </w:tc>
        <w:tc>
          <w:tcPr>
            <w:tcW w:w="660" w:type="dxa"/>
            <w:vAlign w:val="bottom"/>
            <w:tcBorders>
              <w:bottom w:val="single" w:sz="8" w:color="auto"/>
            </w:tcBorders>
            <w:shd w:val="clear" w:color="auto" w:fill="CCFFFF"/>
          </w:tcPr>
          <w:p>
            <w:pPr>
              <w:spacing w:after="0"/>
              <w:rPr>
                <w:sz w:val="21"/>
                <w:szCs w:val="21"/>
                <w:color w:val="auto"/>
              </w:rPr>
            </w:pPr>
          </w:p>
        </w:tc>
        <w:tc>
          <w:tcPr>
            <w:tcW w:w="180" w:type="dxa"/>
            <w:vAlign w:val="bottom"/>
            <w:tcBorders>
              <w:bottom w:val="single" w:sz="8" w:color="auto"/>
            </w:tcBorders>
            <w:shd w:val="clear" w:color="auto" w:fill="CCFFFF"/>
          </w:tcPr>
          <w:p>
            <w:pPr>
              <w:spacing w:after="0"/>
              <w:rPr>
                <w:sz w:val="21"/>
                <w:szCs w:val="21"/>
                <w:color w:val="auto"/>
              </w:rPr>
            </w:pPr>
          </w:p>
        </w:tc>
        <w:tc>
          <w:tcPr>
            <w:tcW w:w="106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b w:val="1"/>
                <w:bCs w:val="1"/>
                <w:color w:val="auto"/>
              </w:rPr>
              <w:t>316,859</w:t>
            </w:r>
          </w:p>
        </w:tc>
        <w:tc>
          <w:tcPr>
            <w:tcW w:w="0" w:type="dxa"/>
            <w:vAlign w:val="bottom"/>
          </w:tcPr>
          <w:p>
            <w:pPr>
              <w:spacing w:after="0"/>
              <w:rPr>
                <w:sz w:val="1"/>
                <w:szCs w:val="1"/>
                <w:color w:val="auto"/>
              </w:rPr>
            </w:pPr>
          </w:p>
        </w:tc>
      </w:tr>
      <w:tr>
        <w:trPr>
          <w:trHeight w:val="231"/>
        </w:trPr>
        <w:tc>
          <w:tcPr>
            <w:tcW w:w="4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Borders>
              <w:bottom w:val="single" w:sz="8" w:color="CCFFFF"/>
            </w:tcBorders>
            <w:shd w:val="clear" w:color="auto" w:fill="CCFFFF"/>
          </w:tcPr>
          <w:p>
            <w:pPr>
              <w:spacing w:after="0"/>
              <w:rPr>
                <w:sz w:val="21"/>
                <w:szCs w:val="21"/>
                <w:color w:val="auto"/>
              </w:rPr>
            </w:pPr>
          </w:p>
        </w:tc>
        <w:tc>
          <w:tcPr>
            <w:tcW w:w="22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116,202</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6,301</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(5,798)</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(b)</w:t>
            </w: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116,705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Selling and marketing expenses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63,612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3,847</w:t>
            </w:r>
          </w:p>
        </w:tc>
        <w:tc>
          <w:tcPr>
            <w:tcW w:w="580" w:type="dxa"/>
            <w:vAlign w:val="bottom"/>
          </w:tcPr>
          <w:p>
            <w:pPr>
              <w:ind w:left="220"/>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(2,464)</w:t>
            </w:r>
          </w:p>
        </w:tc>
        <w:tc>
          <w:tcPr>
            <w:tcW w:w="660" w:type="dxa"/>
            <w:vAlign w:val="bottom"/>
          </w:tcPr>
          <w:p>
            <w:pPr>
              <w:ind w:left="240"/>
              <w:spacing w:after="0"/>
              <w:rPr>
                <w:sz w:val="20"/>
                <w:szCs w:val="20"/>
                <w:color w:val="auto"/>
              </w:rPr>
            </w:pPr>
            <w:r>
              <w:rPr>
                <w:rFonts w:ascii="Arial" w:cs="Arial" w:eastAsia="Arial" w:hAnsi="Arial"/>
                <w:sz w:val="16"/>
                <w:szCs w:val="16"/>
                <w:color w:val="auto"/>
              </w:rPr>
              <w:t>(b)</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64,995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FFFF"/>
            </w:tcBorders>
            <w:shd w:val="clear" w:color="auto" w:fill="CCFFFF"/>
          </w:tcPr>
          <w:p>
            <w:pPr>
              <w:spacing w:after="0"/>
              <w:rPr>
                <w:sz w:val="21"/>
                <w:szCs w:val="21"/>
                <w:color w:val="auto"/>
              </w:rPr>
            </w:pPr>
          </w:p>
        </w:tc>
        <w:tc>
          <w:tcPr>
            <w:tcW w:w="22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48,566</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1,817</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(3,505)</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(b)</w:t>
            </w: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46,878</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20,056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(20,056)</w:t>
            </w:r>
          </w:p>
        </w:tc>
        <w:tc>
          <w:tcPr>
            <w:tcW w:w="660" w:type="dxa"/>
            <w:vAlign w:val="bottom"/>
          </w:tcPr>
          <w:p>
            <w:pPr>
              <w:ind w:left="240"/>
              <w:spacing w:after="0"/>
              <w:rPr>
                <w:sz w:val="20"/>
                <w:szCs w:val="20"/>
                <w:color w:val="auto"/>
              </w:rPr>
            </w:pPr>
            <w:r>
              <w:rPr>
                <w:rFonts w:ascii="Arial" w:cs="Arial" w:eastAsia="Arial" w:hAnsi="Arial"/>
                <w:sz w:val="16"/>
                <w:szCs w:val="16"/>
                <w:color w:val="auto"/>
              </w:rPr>
              <w:t>(c)</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FFFF"/>
            </w:tcBorders>
          </w:tcPr>
          <w:p>
            <w:pPr>
              <w:spacing w:after="0"/>
              <w:rPr>
                <w:sz w:val="2"/>
                <w:szCs w:val="2"/>
                <w:color w:val="auto"/>
              </w:rPr>
            </w:pPr>
          </w:p>
        </w:tc>
        <w:tc>
          <w:tcPr>
            <w:tcW w:w="120" w:type="dxa"/>
            <w:vAlign w:val="bottom"/>
            <w:tcBorders>
              <w:bottom w:val="single" w:sz="8" w:color="CC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CC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CC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FFFF"/>
            </w:tcBorders>
            <w:shd w:val="clear" w:color="auto" w:fill="CCFFFF"/>
          </w:tcPr>
          <w:p>
            <w:pPr>
              <w:spacing w:after="0"/>
              <w:rPr>
                <w:sz w:val="21"/>
                <w:szCs w:val="21"/>
                <w:color w:val="auto"/>
              </w:rPr>
            </w:pPr>
          </w:p>
        </w:tc>
        <w:tc>
          <w:tcPr>
            <w:tcW w:w="22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248,436</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11,965</w:t>
            </w:r>
          </w:p>
        </w:tc>
        <w:tc>
          <w:tcPr>
            <w:tcW w:w="58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(31,823)</w:t>
            </w: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228,578</w:t>
            </w:r>
          </w:p>
        </w:tc>
        <w:tc>
          <w:tcPr>
            <w:tcW w:w="0" w:type="dxa"/>
            <w:vAlign w:val="bottom"/>
          </w:tcPr>
          <w:p>
            <w:pPr>
              <w:spacing w:after="0"/>
              <w:rPr>
                <w:sz w:val="1"/>
                <w:szCs w:val="1"/>
                <w:color w:val="auto"/>
              </w:rPr>
            </w:pPr>
          </w:p>
        </w:tc>
      </w:tr>
      <w:tr>
        <w:trPr>
          <w:trHeight w:val="21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49,821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4,324</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34,136</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88,281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Foreign exchange gain, net</w:t>
            </w:r>
          </w:p>
        </w:tc>
        <w:tc>
          <w:tcPr>
            <w:tcW w:w="120" w:type="dxa"/>
            <w:vAlign w:val="bottom"/>
            <w:tcBorders>
              <w:bottom w:val="single" w:sz="8" w:color="CCFFFF"/>
            </w:tcBorders>
            <w:shd w:val="clear" w:color="auto" w:fill="CCFFFF"/>
          </w:tcPr>
          <w:p>
            <w:pPr>
              <w:spacing w:after="0"/>
              <w:rPr>
                <w:sz w:val="21"/>
                <w:szCs w:val="21"/>
                <w:color w:val="auto"/>
              </w:rPr>
            </w:pPr>
          </w:p>
        </w:tc>
        <w:tc>
          <w:tcPr>
            <w:tcW w:w="22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4,787</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140</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(380)</w:t>
            </w:r>
          </w:p>
        </w:tc>
        <w:tc>
          <w:tcPr>
            <w:tcW w:w="580" w:type="dxa"/>
            <w:vAlign w:val="bottom"/>
          </w:tcPr>
          <w:p>
            <w:pPr>
              <w:ind w:left="220"/>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CCFFFF"/>
            </w:tcBorders>
            <w:shd w:val="clear" w:color="auto" w:fill="CCFFFF"/>
          </w:tcPr>
          <w:p>
            <w:pPr>
              <w:spacing w:after="0"/>
              <w:rPr>
                <w:sz w:val="23"/>
                <w:szCs w:val="23"/>
                <w:color w:val="auto"/>
              </w:rPr>
            </w:pPr>
          </w:p>
        </w:tc>
        <w:tc>
          <w:tcPr>
            <w:tcW w:w="22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12,989</w:t>
            </w:r>
          </w:p>
        </w:tc>
        <w:tc>
          <w:tcPr>
            <w:tcW w:w="140" w:type="dxa"/>
            <w:vAlign w:val="bottom"/>
            <w:tcBorders>
              <w:bottom w:val="single" w:sz="8" w:color="CCFFFF"/>
            </w:tcBorders>
            <w:shd w:val="clear" w:color="auto" w:fill="CCFFFF"/>
          </w:tcPr>
          <w:p>
            <w:pPr>
              <w:spacing w:after="0"/>
              <w:rPr>
                <w:sz w:val="23"/>
                <w:szCs w:val="23"/>
                <w:color w:val="auto"/>
              </w:rPr>
            </w:pPr>
          </w:p>
        </w:tc>
        <w:tc>
          <w:tcPr>
            <w:tcW w:w="12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11</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(1,245)</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(b)</w:t>
            </w: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11,755</w:t>
            </w:r>
          </w:p>
        </w:tc>
        <w:tc>
          <w:tcPr>
            <w:tcW w:w="0" w:type="dxa"/>
            <w:vAlign w:val="bottom"/>
          </w:tcPr>
          <w:p>
            <w:pPr>
              <w:spacing w:after="0"/>
              <w:rPr>
                <w:sz w:val="1"/>
                <w:szCs w:val="1"/>
                <w:color w:val="auto"/>
              </w:rPr>
            </w:pPr>
          </w:p>
        </w:tc>
      </w:tr>
      <w:tr>
        <w:trPr>
          <w:trHeight w:val="196"/>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w w:val="95"/>
              </w:rPr>
              <w:t>Income before income tax expense and earnings from equity</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affiliate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60,370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4,095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32,891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97,356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FFFF"/>
            </w:tcBorders>
            <w:shd w:val="clear" w:color="auto" w:fill="CCFFFF"/>
          </w:tcPr>
          <w:p>
            <w:pPr>
              <w:spacing w:after="0"/>
              <w:rPr>
                <w:sz w:val="23"/>
                <w:szCs w:val="23"/>
                <w:color w:val="auto"/>
              </w:rPr>
            </w:pPr>
          </w:p>
        </w:tc>
        <w:tc>
          <w:tcPr>
            <w:tcW w:w="22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3,397</w:t>
            </w:r>
          </w:p>
        </w:tc>
        <w:tc>
          <w:tcPr>
            <w:tcW w:w="140" w:type="dxa"/>
            <w:vAlign w:val="bottom"/>
            <w:tcBorders>
              <w:bottom w:val="single" w:sz="8" w:color="CCFFFF"/>
            </w:tcBorders>
            <w:shd w:val="clear" w:color="auto" w:fill="CCFFFF"/>
          </w:tcPr>
          <w:p>
            <w:pPr>
              <w:spacing w:after="0"/>
              <w:rPr>
                <w:sz w:val="23"/>
                <w:szCs w:val="23"/>
                <w:color w:val="auto"/>
              </w:rPr>
            </w:pPr>
          </w:p>
        </w:tc>
        <w:tc>
          <w:tcPr>
            <w:tcW w:w="12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1,438</w:t>
            </w:r>
          </w:p>
        </w:tc>
        <w:tc>
          <w:tcPr>
            <w:tcW w:w="580" w:type="dxa"/>
            <w:vAlign w:val="bottom"/>
            <w:tcBorders>
              <w:bottom w:val="single" w:sz="8" w:color="CCFFFF"/>
            </w:tcBorders>
            <w:shd w:val="clear" w:color="auto" w:fill="CCFFFF"/>
          </w:tcPr>
          <w:p>
            <w:pPr>
              <w:ind w:left="220"/>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6,392</w:t>
            </w:r>
          </w:p>
        </w:tc>
        <w:tc>
          <w:tcPr>
            <w:tcW w:w="660" w:type="dxa"/>
            <w:vAlign w:val="bottom"/>
            <w:tcBorders>
              <w:bottom w:val="single" w:sz="8" w:color="CCFFFF"/>
            </w:tcBorders>
            <w:shd w:val="clear" w:color="auto" w:fill="CCFFFF"/>
          </w:tcPr>
          <w:p>
            <w:pPr>
              <w:ind w:left="240"/>
              <w:spacing w:after="0"/>
              <w:rPr>
                <w:sz w:val="20"/>
                <w:szCs w:val="20"/>
                <w:color w:val="auto"/>
              </w:rPr>
            </w:pPr>
            <w:r>
              <w:rPr>
                <w:rFonts w:ascii="Arial" w:cs="Arial" w:eastAsia="Arial" w:hAnsi="Arial"/>
                <w:sz w:val="16"/>
                <w:szCs w:val="16"/>
                <w:color w:val="auto"/>
              </w:rPr>
              <w:t>(d)</w:t>
            </w: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11,227</w:t>
            </w:r>
          </w:p>
        </w:tc>
        <w:tc>
          <w:tcPr>
            <w:tcW w:w="0" w:type="dxa"/>
            <w:vAlign w:val="bottom"/>
          </w:tcPr>
          <w:p>
            <w:pPr>
              <w:spacing w:after="0"/>
              <w:rPr>
                <w:sz w:val="1"/>
                <w:szCs w:val="1"/>
                <w:color w:val="auto"/>
              </w:rPr>
            </w:pPr>
          </w:p>
        </w:tc>
      </w:tr>
      <w:tr>
        <w:trPr>
          <w:trHeight w:val="21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Income before earnings from equity affiliates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56,973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2,657</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26,499</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86,129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Loss from equity-method investment</w:t>
            </w:r>
          </w:p>
        </w:tc>
        <w:tc>
          <w:tcPr>
            <w:tcW w:w="120" w:type="dxa"/>
            <w:vAlign w:val="bottom"/>
            <w:tcBorders>
              <w:bottom w:val="single" w:sz="8" w:color="CCFFFF"/>
            </w:tcBorders>
            <w:shd w:val="clear" w:color="auto" w:fill="CCFFFF"/>
          </w:tcPr>
          <w:p>
            <w:pPr>
              <w:spacing w:after="0"/>
              <w:rPr>
                <w:sz w:val="23"/>
                <w:szCs w:val="23"/>
                <w:color w:val="auto"/>
              </w:rPr>
            </w:pPr>
          </w:p>
        </w:tc>
        <w:tc>
          <w:tcPr>
            <w:tcW w:w="22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247</w:t>
            </w:r>
          </w:p>
        </w:tc>
        <w:tc>
          <w:tcPr>
            <w:tcW w:w="140" w:type="dxa"/>
            <w:vAlign w:val="bottom"/>
            <w:tcBorders>
              <w:bottom w:val="single" w:sz="8" w:color="CCFFFF"/>
            </w:tcBorders>
            <w:shd w:val="clear" w:color="auto" w:fill="CCFFFF"/>
          </w:tcPr>
          <w:p>
            <w:pPr>
              <w:spacing w:after="0"/>
              <w:rPr>
                <w:sz w:val="23"/>
                <w:szCs w:val="23"/>
                <w:color w:val="auto"/>
              </w:rPr>
            </w:pPr>
          </w:p>
        </w:tc>
        <w:tc>
          <w:tcPr>
            <w:tcW w:w="12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FF"/>
            </w:tcBorders>
            <w:shd w:val="clear" w:color="auto" w:fill="CCFFFF"/>
          </w:tcPr>
          <w:p>
            <w:pPr>
              <w:spacing w:after="0"/>
              <w:rPr>
                <w:sz w:val="23"/>
                <w:szCs w:val="23"/>
                <w:color w:val="auto"/>
              </w:rPr>
            </w:pPr>
          </w:p>
        </w:tc>
        <w:tc>
          <w:tcPr>
            <w:tcW w:w="180" w:type="dxa"/>
            <w:vAlign w:val="bottom"/>
            <w:tcBorders>
              <w:bottom w:val="single" w:sz="8" w:color="CCFFFF"/>
            </w:tcBorders>
            <w:shd w:val="clear" w:color="auto" w:fill="CCFFFF"/>
          </w:tcPr>
          <w:p>
            <w:pPr>
              <w:spacing w:after="0"/>
              <w:rPr>
                <w:sz w:val="23"/>
                <w:szCs w:val="23"/>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6"/>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ExlService Holdings, Inc.</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56,726</w:t>
            </w:r>
          </w:p>
        </w:tc>
        <w:tc>
          <w:tcPr>
            <w:tcW w:w="14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2,657</w:t>
            </w:r>
          </w:p>
        </w:tc>
        <w:tc>
          <w:tcPr>
            <w:tcW w:w="58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26,499</w:t>
            </w:r>
          </w:p>
        </w:tc>
        <w:tc>
          <w:tcPr>
            <w:tcW w:w="66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85,882</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CCFFFF"/>
            </w:tcBorders>
          </w:tcPr>
          <w:p>
            <w:pPr>
              <w:ind w:left="40"/>
              <w:spacing w:after="0"/>
              <w:rPr>
                <w:sz w:val="20"/>
                <w:szCs w:val="20"/>
                <w:color w:val="auto"/>
              </w:rPr>
            </w:pPr>
            <w:r>
              <w:rPr>
                <w:rFonts w:ascii="Arial" w:cs="Arial" w:eastAsia="Arial" w:hAnsi="Arial"/>
                <w:sz w:val="16"/>
                <w:szCs w:val="16"/>
                <w:b w:val="1"/>
                <w:bCs w:val="1"/>
                <w:color w:val="auto"/>
              </w:rPr>
              <w:t>stockholders</w:t>
            </w:r>
          </w:p>
        </w:tc>
        <w:tc>
          <w:tcPr>
            <w:tcW w:w="120" w:type="dxa"/>
            <w:vAlign w:val="bottom"/>
            <w:tcBorders>
              <w:bottom w:val="single" w:sz="8" w:color="CCFFFF"/>
            </w:tcBorders>
            <w:vMerge w:val="continue"/>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FFFF"/>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CCFFFF"/>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CCFF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CCFFFF"/>
          </w:tcPr>
          <w:p>
            <w:pPr>
              <w:ind w:left="40"/>
              <w:spacing w:after="0" w:line="180" w:lineRule="exact"/>
              <w:rPr>
                <w:sz w:val="20"/>
                <w:szCs w:val="20"/>
                <w:color w:val="auto"/>
              </w:rPr>
            </w:pPr>
            <w:r>
              <w:rPr>
                <w:rFonts w:ascii="Arial" w:cs="Arial" w:eastAsia="Arial" w:hAnsi="Arial"/>
                <w:sz w:val="16"/>
                <w:szCs w:val="16"/>
                <w:color w:val="auto"/>
              </w:rPr>
              <w:t>Earnings per share attributable to ExlService Holdings, Inc.</w:t>
            </w:r>
          </w:p>
        </w:tc>
        <w:tc>
          <w:tcPr>
            <w:tcW w:w="120" w:type="dxa"/>
            <w:vAlign w:val="bottom"/>
            <w:shd w:val="clear" w:color="auto" w:fill="CCFFFF"/>
          </w:tcPr>
          <w:p>
            <w:pPr>
              <w:spacing w:after="0"/>
              <w:rPr>
                <w:sz w:val="15"/>
                <w:szCs w:val="15"/>
                <w:color w:val="auto"/>
              </w:rPr>
            </w:pPr>
          </w:p>
        </w:tc>
        <w:tc>
          <w:tcPr>
            <w:tcW w:w="220" w:type="dxa"/>
            <w:vAlign w:val="bottom"/>
            <w:shd w:val="clear" w:color="auto" w:fill="CCFFFF"/>
          </w:tcPr>
          <w:p>
            <w:pPr>
              <w:spacing w:after="0"/>
              <w:rPr>
                <w:sz w:val="15"/>
                <w:szCs w:val="15"/>
                <w:color w:val="auto"/>
              </w:rPr>
            </w:pPr>
          </w:p>
        </w:tc>
        <w:tc>
          <w:tcPr>
            <w:tcW w:w="1060" w:type="dxa"/>
            <w:vAlign w:val="bottom"/>
            <w:shd w:val="clear" w:color="auto" w:fill="CCFFFF"/>
          </w:tcPr>
          <w:p>
            <w:pPr>
              <w:spacing w:after="0"/>
              <w:rPr>
                <w:sz w:val="15"/>
                <w:szCs w:val="15"/>
                <w:color w:val="auto"/>
              </w:rPr>
            </w:pPr>
          </w:p>
        </w:tc>
        <w:tc>
          <w:tcPr>
            <w:tcW w:w="140" w:type="dxa"/>
            <w:vAlign w:val="bottom"/>
            <w:shd w:val="clear" w:color="auto" w:fill="CCFFFF"/>
          </w:tcPr>
          <w:p>
            <w:pPr>
              <w:spacing w:after="0"/>
              <w:rPr>
                <w:sz w:val="15"/>
                <w:szCs w:val="15"/>
                <w:color w:val="auto"/>
              </w:rPr>
            </w:pPr>
          </w:p>
        </w:tc>
        <w:tc>
          <w:tcPr>
            <w:tcW w:w="120" w:type="dxa"/>
            <w:vAlign w:val="bottom"/>
            <w:shd w:val="clear" w:color="auto" w:fill="CCFFFF"/>
          </w:tcPr>
          <w:p>
            <w:pPr>
              <w:spacing w:after="0"/>
              <w:rPr>
                <w:sz w:val="15"/>
                <w:szCs w:val="15"/>
                <w:color w:val="auto"/>
              </w:rPr>
            </w:pPr>
          </w:p>
        </w:tc>
        <w:tc>
          <w:tcPr>
            <w:tcW w:w="1360" w:type="dxa"/>
            <w:vAlign w:val="bottom"/>
            <w:shd w:val="clear" w:color="auto" w:fill="CCFFFF"/>
          </w:tcPr>
          <w:p>
            <w:pPr>
              <w:spacing w:after="0"/>
              <w:rPr>
                <w:sz w:val="15"/>
                <w:szCs w:val="15"/>
                <w:color w:val="auto"/>
              </w:rPr>
            </w:pPr>
          </w:p>
        </w:tc>
        <w:tc>
          <w:tcPr>
            <w:tcW w:w="580" w:type="dxa"/>
            <w:vAlign w:val="bottom"/>
            <w:shd w:val="clear" w:color="auto" w:fill="CCFFFF"/>
          </w:tcPr>
          <w:p>
            <w:pPr>
              <w:spacing w:after="0"/>
              <w:rPr>
                <w:sz w:val="15"/>
                <w:szCs w:val="15"/>
                <w:color w:val="auto"/>
              </w:rPr>
            </w:pPr>
          </w:p>
        </w:tc>
        <w:tc>
          <w:tcPr>
            <w:tcW w:w="100" w:type="dxa"/>
            <w:vAlign w:val="bottom"/>
            <w:shd w:val="clear" w:color="auto" w:fill="CCFFFF"/>
          </w:tcPr>
          <w:p>
            <w:pPr>
              <w:spacing w:after="0"/>
              <w:rPr>
                <w:sz w:val="15"/>
                <w:szCs w:val="15"/>
                <w:color w:val="auto"/>
              </w:rPr>
            </w:pPr>
          </w:p>
        </w:tc>
        <w:tc>
          <w:tcPr>
            <w:tcW w:w="1360" w:type="dxa"/>
            <w:vAlign w:val="bottom"/>
            <w:shd w:val="clear" w:color="auto" w:fill="CCFFFF"/>
          </w:tcPr>
          <w:p>
            <w:pPr>
              <w:spacing w:after="0"/>
              <w:rPr>
                <w:sz w:val="15"/>
                <w:szCs w:val="15"/>
                <w:color w:val="auto"/>
              </w:rPr>
            </w:pPr>
          </w:p>
        </w:tc>
        <w:tc>
          <w:tcPr>
            <w:tcW w:w="660" w:type="dxa"/>
            <w:vAlign w:val="bottom"/>
            <w:shd w:val="clear" w:color="auto" w:fill="CCFFFF"/>
          </w:tcPr>
          <w:p>
            <w:pPr>
              <w:spacing w:after="0"/>
              <w:rPr>
                <w:sz w:val="15"/>
                <w:szCs w:val="15"/>
                <w:color w:val="auto"/>
              </w:rPr>
            </w:pPr>
          </w:p>
        </w:tc>
        <w:tc>
          <w:tcPr>
            <w:tcW w:w="180" w:type="dxa"/>
            <w:vAlign w:val="bottom"/>
            <w:shd w:val="clear" w:color="auto" w:fill="CCFFFF"/>
          </w:tcPr>
          <w:p>
            <w:pPr>
              <w:spacing w:after="0"/>
              <w:rPr>
                <w:sz w:val="15"/>
                <w:szCs w:val="15"/>
                <w:color w:val="auto"/>
              </w:rPr>
            </w:pPr>
          </w:p>
        </w:tc>
        <w:tc>
          <w:tcPr>
            <w:tcW w:w="1060" w:type="dxa"/>
            <w:vAlign w:val="bottom"/>
            <w:shd w:val="clear" w:color="auto" w:fill="CCFF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stockholders:</w:t>
            </w:r>
          </w:p>
        </w:tc>
        <w:tc>
          <w:tcPr>
            <w:tcW w:w="120" w:type="dxa"/>
            <w:vAlign w:val="bottom"/>
            <w:tcBorders>
              <w:bottom w:val="single" w:sz="8" w:color="CCFFFF"/>
            </w:tcBorders>
            <w:shd w:val="clear" w:color="auto" w:fill="CCFFFF"/>
          </w:tcPr>
          <w:p>
            <w:pPr>
              <w:spacing w:after="0"/>
              <w:rPr>
                <w:sz w:val="19"/>
                <w:szCs w:val="19"/>
                <w:color w:val="auto"/>
              </w:rPr>
            </w:pPr>
          </w:p>
        </w:tc>
        <w:tc>
          <w:tcPr>
            <w:tcW w:w="220" w:type="dxa"/>
            <w:vAlign w:val="bottom"/>
            <w:tcBorders>
              <w:bottom w:val="single" w:sz="8" w:color="CCFFFF"/>
            </w:tcBorders>
            <w:shd w:val="clear" w:color="auto" w:fill="CCFFFF"/>
          </w:tcPr>
          <w:p>
            <w:pPr>
              <w:spacing w:after="0"/>
              <w:rPr>
                <w:sz w:val="19"/>
                <w:szCs w:val="19"/>
                <w:color w:val="auto"/>
              </w:rPr>
            </w:pPr>
          </w:p>
        </w:tc>
        <w:tc>
          <w:tcPr>
            <w:tcW w:w="1060" w:type="dxa"/>
            <w:vAlign w:val="bottom"/>
            <w:tcBorders>
              <w:bottom w:val="single" w:sz="8" w:color="CCFFFF"/>
            </w:tcBorders>
            <w:shd w:val="clear" w:color="auto" w:fill="CCFFFF"/>
          </w:tcPr>
          <w:p>
            <w:pPr>
              <w:spacing w:after="0"/>
              <w:rPr>
                <w:sz w:val="19"/>
                <w:szCs w:val="19"/>
                <w:color w:val="auto"/>
              </w:rPr>
            </w:pPr>
          </w:p>
        </w:tc>
        <w:tc>
          <w:tcPr>
            <w:tcW w:w="140" w:type="dxa"/>
            <w:vAlign w:val="bottom"/>
            <w:tcBorders>
              <w:bottom w:val="single" w:sz="8" w:color="CCFFFF"/>
            </w:tcBorders>
            <w:shd w:val="clear" w:color="auto" w:fill="CCFFFF"/>
          </w:tcPr>
          <w:p>
            <w:pPr>
              <w:spacing w:after="0"/>
              <w:rPr>
                <w:sz w:val="19"/>
                <w:szCs w:val="19"/>
                <w:color w:val="auto"/>
              </w:rPr>
            </w:pPr>
          </w:p>
        </w:tc>
        <w:tc>
          <w:tcPr>
            <w:tcW w:w="120" w:type="dxa"/>
            <w:vAlign w:val="bottom"/>
            <w:tcBorders>
              <w:bottom w:val="single" w:sz="8" w:color="CCFFFF"/>
            </w:tcBorders>
            <w:shd w:val="clear" w:color="auto" w:fill="CCFFFF"/>
          </w:tcPr>
          <w:p>
            <w:pPr>
              <w:spacing w:after="0"/>
              <w:rPr>
                <w:sz w:val="19"/>
                <w:szCs w:val="19"/>
                <w:color w:val="auto"/>
              </w:rPr>
            </w:pPr>
          </w:p>
        </w:tc>
        <w:tc>
          <w:tcPr>
            <w:tcW w:w="1360" w:type="dxa"/>
            <w:vAlign w:val="bottom"/>
            <w:tcBorders>
              <w:bottom w:val="single" w:sz="8" w:color="CCFFFF"/>
            </w:tcBorders>
            <w:shd w:val="clear" w:color="auto" w:fill="CCFFFF"/>
          </w:tcPr>
          <w:p>
            <w:pPr>
              <w:spacing w:after="0"/>
              <w:rPr>
                <w:sz w:val="19"/>
                <w:szCs w:val="19"/>
                <w:color w:val="auto"/>
              </w:rPr>
            </w:pPr>
          </w:p>
        </w:tc>
        <w:tc>
          <w:tcPr>
            <w:tcW w:w="580" w:type="dxa"/>
            <w:vAlign w:val="bottom"/>
            <w:tcBorders>
              <w:bottom w:val="single" w:sz="8" w:color="CCFFFF"/>
            </w:tcBorders>
            <w:shd w:val="clear" w:color="auto" w:fill="CCFFFF"/>
          </w:tcPr>
          <w:p>
            <w:pPr>
              <w:spacing w:after="0"/>
              <w:rPr>
                <w:sz w:val="19"/>
                <w:szCs w:val="19"/>
                <w:color w:val="auto"/>
              </w:rPr>
            </w:pPr>
          </w:p>
        </w:tc>
        <w:tc>
          <w:tcPr>
            <w:tcW w:w="100" w:type="dxa"/>
            <w:vAlign w:val="bottom"/>
            <w:tcBorders>
              <w:bottom w:val="single" w:sz="8" w:color="CCFFFF"/>
            </w:tcBorders>
            <w:shd w:val="clear" w:color="auto" w:fill="CCFFFF"/>
          </w:tcPr>
          <w:p>
            <w:pPr>
              <w:spacing w:after="0"/>
              <w:rPr>
                <w:sz w:val="19"/>
                <w:szCs w:val="19"/>
                <w:color w:val="auto"/>
              </w:rPr>
            </w:pPr>
          </w:p>
        </w:tc>
        <w:tc>
          <w:tcPr>
            <w:tcW w:w="1360" w:type="dxa"/>
            <w:vAlign w:val="bottom"/>
            <w:tcBorders>
              <w:bottom w:val="single" w:sz="8" w:color="CCFFFF"/>
            </w:tcBorders>
            <w:shd w:val="clear" w:color="auto" w:fill="CCFFFF"/>
          </w:tcPr>
          <w:p>
            <w:pPr>
              <w:spacing w:after="0"/>
              <w:rPr>
                <w:sz w:val="19"/>
                <w:szCs w:val="19"/>
                <w:color w:val="auto"/>
              </w:rPr>
            </w:pPr>
          </w:p>
        </w:tc>
        <w:tc>
          <w:tcPr>
            <w:tcW w:w="660" w:type="dxa"/>
            <w:vAlign w:val="bottom"/>
            <w:tcBorders>
              <w:bottom w:val="single" w:sz="8" w:color="CCFFFF"/>
            </w:tcBorders>
            <w:shd w:val="clear" w:color="auto" w:fill="CCFFFF"/>
          </w:tcPr>
          <w:p>
            <w:pPr>
              <w:spacing w:after="0"/>
              <w:rPr>
                <w:sz w:val="19"/>
                <w:szCs w:val="19"/>
                <w:color w:val="auto"/>
              </w:rPr>
            </w:pPr>
          </w:p>
        </w:tc>
        <w:tc>
          <w:tcPr>
            <w:tcW w:w="180" w:type="dxa"/>
            <w:vAlign w:val="bottom"/>
            <w:tcBorders>
              <w:bottom w:val="single" w:sz="8" w:color="CCFFFF"/>
            </w:tcBorders>
            <w:shd w:val="clear" w:color="auto" w:fill="CCFFFF"/>
          </w:tcPr>
          <w:p>
            <w:pPr>
              <w:spacing w:after="0"/>
              <w:rPr>
                <w:sz w:val="19"/>
                <w:szCs w:val="19"/>
                <w:color w:val="auto"/>
              </w:rPr>
            </w:pPr>
          </w:p>
        </w:tc>
        <w:tc>
          <w:tcPr>
            <w:tcW w:w="1060" w:type="dxa"/>
            <w:vAlign w:val="bottom"/>
            <w:tcBorders>
              <w:bottom w:val="single" w:sz="8" w:color="CCFFFF"/>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CCFFFF"/>
            </w:tcBorders>
            <w:gridSpan w:val="2"/>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1.62</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spacing w:after="0"/>
              <w:rPr>
                <w:sz w:val="21"/>
                <w:szCs w:val="21"/>
                <w:color w:val="auto"/>
              </w:rPr>
            </w:pPr>
          </w:p>
        </w:tc>
        <w:tc>
          <w:tcPr>
            <w:tcW w:w="58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spacing w:after="0"/>
              <w:rPr>
                <w:sz w:val="21"/>
                <w:szCs w:val="21"/>
                <w:color w:val="auto"/>
              </w:rPr>
            </w:pP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20"/>
        </w:trPr>
        <w:tc>
          <w:tcPr>
            <w:tcW w:w="4460" w:type="dxa"/>
            <w:vAlign w:val="bottom"/>
          </w:tcPr>
          <w:p>
            <w:pPr>
              <w:ind w:left="40"/>
              <w:spacing w:after="0"/>
              <w:rPr>
                <w:sz w:val="20"/>
                <w:szCs w:val="20"/>
                <w:color w:val="auto"/>
              </w:rPr>
            </w:pPr>
            <w:r>
              <w:rPr>
                <w:rFonts w:ascii="Arial" w:cs="Arial" w:eastAsia="Arial" w:hAnsi="Arial"/>
                <w:sz w:val="16"/>
                <w:szCs w:val="16"/>
                <w:color w:val="auto"/>
                <w:w w:val="95"/>
              </w:rPr>
              <w:t>Weighted-average number of shares used in computing earnings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60" w:type="dxa"/>
            <w:vAlign w:val="bottom"/>
          </w:tcPr>
          <w:p>
            <w:pPr>
              <w:ind w:left="40"/>
              <w:spacing w:after="0"/>
              <w:rPr>
                <w:sz w:val="20"/>
                <w:szCs w:val="20"/>
                <w:color w:val="auto"/>
              </w:rPr>
            </w:pPr>
            <w:r>
              <w:rPr>
                <w:rFonts w:ascii="Arial" w:cs="Arial" w:eastAsia="Arial" w:hAnsi="Arial"/>
                <w:sz w:val="16"/>
                <w:szCs w:val="16"/>
                <w:color w:val="auto"/>
                <w:w w:val="98"/>
              </w:rPr>
              <w:t>per share attributable to ExlService Holdings Inc. stockholders: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21"/>
                <w:szCs w:val="21"/>
                <w:color w:val="auto"/>
              </w:rPr>
            </w:pPr>
          </w:p>
        </w:tc>
        <w:tc>
          <w:tcPr>
            <w:tcW w:w="22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39"/>
              <w:spacing w:after="0"/>
              <w:rPr>
                <w:sz w:val="20"/>
                <w:szCs w:val="20"/>
                <w:color w:val="auto"/>
              </w:rPr>
            </w:pPr>
            <w:r>
              <w:rPr>
                <w:rFonts w:ascii="Arial" w:cs="Arial" w:eastAsia="Arial" w:hAnsi="Arial"/>
                <w:sz w:val="16"/>
                <w:szCs w:val="16"/>
                <w:color w:val="auto"/>
              </w:rPr>
              <w:t>34,451,008</w:t>
            </w:r>
          </w:p>
        </w:tc>
        <w:tc>
          <w:tcPr>
            <w:tcW w:w="140" w:type="dxa"/>
            <w:vAlign w:val="bottom"/>
            <w:tcBorders>
              <w:bottom w:val="single" w:sz="8" w:color="CCFFFF"/>
            </w:tcBorders>
            <w:shd w:val="clear" w:color="auto" w:fill="CCFFFF"/>
          </w:tcPr>
          <w:p>
            <w:pPr>
              <w:spacing w:after="0"/>
              <w:rPr>
                <w:sz w:val="21"/>
                <w:szCs w:val="21"/>
                <w:color w:val="auto"/>
              </w:rPr>
            </w:pPr>
          </w:p>
        </w:tc>
        <w:tc>
          <w:tcPr>
            <w:tcW w:w="12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spacing w:after="0"/>
              <w:rPr>
                <w:sz w:val="21"/>
                <w:szCs w:val="21"/>
                <w:color w:val="auto"/>
              </w:rPr>
            </w:pPr>
          </w:p>
        </w:tc>
        <w:tc>
          <w:tcPr>
            <w:tcW w:w="58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1360" w:type="dxa"/>
            <w:vAlign w:val="bottom"/>
            <w:tcBorders>
              <w:bottom w:val="single" w:sz="8" w:color="CCFFFF"/>
            </w:tcBorders>
            <w:shd w:val="clear" w:color="auto" w:fill="CCFFFF"/>
          </w:tcPr>
          <w:p>
            <w:pPr>
              <w:spacing w:after="0"/>
              <w:rPr>
                <w:sz w:val="21"/>
                <w:szCs w:val="21"/>
                <w:color w:val="auto"/>
              </w:rPr>
            </w:pPr>
          </w:p>
        </w:tc>
        <w:tc>
          <w:tcPr>
            <w:tcW w:w="660" w:type="dxa"/>
            <w:vAlign w:val="bottom"/>
            <w:tcBorders>
              <w:bottom w:val="single" w:sz="8" w:color="CCFFFF"/>
            </w:tcBorders>
            <w:shd w:val="clear" w:color="auto" w:fill="CCFFFF"/>
          </w:tcPr>
          <w:p>
            <w:pPr>
              <w:spacing w:after="0"/>
              <w:rPr>
                <w:sz w:val="21"/>
                <w:szCs w:val="21"/>
                <w:color w:val="auto"/>
              </w:rPr>
            </w:pPr>
          </w:p>
        </w:tc>
        <w:tc>
          <w:tcPr>
            <w:tcW w:w="180" w:type="dxa"/>
            <w:vAlign w:val="bottom"/>
            <w:tcBorders>
              <w:bottom w:val="single" w:sz="8" w:color="CCFFFF"/>
            </w:tcBorders>
            <w:shd w:val="clear" w:color="auto" w:fill="CCFFFF"/>
          </w:tcPr>
          <w:p>
            <w:pPr>
              <w:spacing w:after="0"/>
              <w:rPr>
                <w:sz w:val="21"/>
                <w:szCs w:val="21"/>
                <w:color w:val="auto"/>
              </w:rPr>
            </w:pPr>
          </w:p>
        </w:tc>
        <w:tc>
          <w:tcPr>
            <w:tcW w:w="106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34,451,008</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35,030,984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35,030,984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Represent adjustments to record the historical revenues and expenses for the period January 1, 2018 to June 30, 2018</w:t>
      </w:r>
    </w:p>
    <w:p>
      <w:pPr>
        <w:spacing w:after="0" w:line="167" w:lineRule="exact"/>
        <w:rPr>
          <w:rFonts w:ascii="Arial" w:cs="Arial" w:eastAsia="Arial" w:hAnsi="Arial"/>
          <w:sz w:val="23"/>
          <w:szCs w:val="23"/>
          <w:i w:val="1"/>
          <w:iCs w:val="1"/>
          <w:color w:val="auto"/>
          <w:vertAlign w:val="superscript"/>
        </w:rPr>
      </w:pPr>
    </w:p>
    <w:p>
      <w:pPr>
        <w:ind w:left="200" w:hanging="192"/>
        <w:spacing w:after="0"/>
        <w:tabs>
          <w:tab w:leader="none" w:pos="20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Exclusive of depreciation and amortization.</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Condensed Consolidated Balance Sheet as of September 30, 2019</w:t>
      </w:r>
    </w:p>
    <w:p>
      <w:pPr>
        <w:spacing w:after="0" w:line="252"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Adjustments reflect the elimination of assets and liabilities attributable to the Health Integrated business, as they are non-recurring in nature given the previously-announced wind down of the operations of the Health Integrated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Condensed Consolidated Statement of Income for the Nine Months Ended September 30, 2019</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Health Integrated adjustments reflects the elimination of income and expenses attributable to the Health Integrated business.</w:t>
      </w:r>
    </w:p>
    <w:p>
      <w:pPr>
        <w:spacing w:after="0" w:line="144" w:lineRule="exact"/>
        <w:rPr>
          <w:rFonts w:ascii="Arial" w:cs="Arial" w:eastAsia="Arial" w:hAnsi="Arial"/>
          <w:sz w:val="18"/>
          <w:szCs w:val="18"/>
          <w:color w:val="auto"/>
        </w:rPr>
      </w:pPr>
    </w:p>
    <w:p>
      <w:pPr>
        <w:ind w:left="340" w:hanging="332"/>
        <w:spacing w:after="0" w:line="32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and restructuring charges represents pre-tax costs recognized in connection with the wind down of the Health Integrated business of $4,129 and impairment of Right-of-Use assets and long-lived assets of $3,167.</w:t>
      </w:r>
    </w:p>
    <w:p>
      <w:pPr>
        <w:spacing w:after="0" w:line="62" w:lineRule="exact"/>
        <w:rPr>
          <w:rFonts w:ascii="Arial" w:cs="Arial" w:eastAsia="Arial" w:hAnsi="Arial"/>
          <w:sz w:val="18"/>
          <w:szCs w:val="18"/>
          <w:color w:val="auto"/>
        </w:rPr>
      </w:pPr>
    </w:p>
    <w:p>
      <w:pPr>
        <w:ind w:left="340" w:right="20" w:hanging="332"/>
        <w:spacing w:after="0" w:line="32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income tax expense for the effects of the pro forma adjustments of wind down of the Health Integrated business, the Company used tax rate of 23.8% for the Health Integrated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Unaudited Pro Forma Condensed Consolidated Statement of Income for the Year Ended December 31, 2018</w:t>
      </w:r>
    </w:p>
    <w:p>
      <w:pPr>
        <w:spacing w:after="0" w:line="252" w:lineRule="exact"/>
        <w:rPr>
          <w:sz w:val="20"/>
          <w:szCs w:val="20"/>
          <w:color w:val="auto"/>
        </w:rPr>
      </w:pPr>
    </w:p>
    <w:p>
      <w:pPr>
        <w:jc w:val="both"/>
        <w:ind w:left="340" w:hanging="332"/>
        <w:spacing w:after="0" w:line="30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SCIO acquisition adjustments represent pro forma adjustments to record the historical income and expenses for the period from January 1, 2018 to June 30, 2018, the date the SCIO acquisition closed. Refer to the Company's Current Report on Form 8-K/A filed on September 7, 2018, for more information regarding the pro forma effects of the SCIO Acquisition for the unaudited pro forma consolidated statement of income for the year ended December 31, 2018.</w:t>
      </w:r>
    </w:p>
    <w:p>
      <w:pPr>
        <w:spacing w:after="0" w:line="10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 Integrated adjustments reflects the elimination of income and expenses attributable to the Health Integrated business.</w:t>
      </w:r>
    </w:p>
    <w:p>
      <w:pPr>
        <w:spacing w:after="0" w:line="184" w:lineRule="exact"/>
        <w:rPr>
          <w:rFonts w:ascii="Arial" w:cs="Arial" w:eastAsia="Arial" w:hAnsi="Arial"/>
          <w:sz w:val="18"/>
          <w:szCs w:val="18"/>
          <w:color w:val="auto"/>
        </w:rPr>
      </w:pPr>
    </w:p>
    <w:p>
      <w:pPr>
        <w:jc w:val="both"/>
        <w:ind w:left="340" w:hanging="332"/>
        <w:spacing w:after="0" w:line="36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Impairment charges relate to recognition of an impairment charge of $20,056 during the fiscal year 2018 to write down the carrying value of goodwill of $14,229 and intangible assets of $5,827 to their fair values related to the Company’s Health Integrated reporting unit. Refer to the footnote 10 of Annual Report on Form 10-K for the year ended December 31, 2018 filed with the Securities and Exchange Commission on February 28, 2019.</w:t>
      </w:r>
    </w:p>
    <w:p>
      <w:pPr>
        <w:spacing w:after="0" w:line="40" w:lineRule="exact"/>
        <w:rPr>
          <w:rFonts w:ascii="Arial" w:cs="Arial" w:eastAsia="Arial" w:hAnsi="Arial"/>
          <w:sz w:val="16"/>
          <w:szCs w:val="16"/>
          <w:color w:val="auto"/>
        </w:rPr>
      </w:pPr>
    </w:p>
    <w:p>
      <w:pPr>
        <w:ind w:left="340" w:right="20" w:hanging="332"/>
        <w:spacing w:after="0" w:line="32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adjust income tax expense for the effects of the pro forma adjustments of wind down of the Health Integrated business, the Company used tax rate of 25.9% for the Health Integrated business.</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2020-01-07T05:08:51Z</dcterms:created>
  <dcterms:modified xsi:type="dcterms:W3CDTF">2020-01-07T05:08:51Z</dcterms:modified>
</cp:coreProperties>
</file>