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0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17780</wp:posOffset>
            </wp:positionV>
            <wp:extent cx="6998970"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6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160" w:space="500"/>
            <w:col w:w="842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Orogen Echo LLC</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000"/>
        <w:spacing w:after="0" w:line="350" w:lineRule="auto"/>
        <w:rPr>
          <w:sz w:val="20"/>
          <w:szCs w:val="20"/>
          <w:color w:val="auto"/>
        </w:rPr>
      </w:pPr>
      <w:r>
        <w:rPr>
          <w:rFonts w:ascii="Arial" w:cs="Arial" w:eastAsia="Arial" w:hAnsi="Arial"/>
          <w:sz w:val="16"/>
          <w:szCs w:val="16"/>
          <w:color w:val="0000FF"/>
        </w:rPr>
        <w:t>ONE ROCKEFELLER PLAZA SUITE 2416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08/27/2021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5" w:right="740" w:firstLine="5"/>
        <w:spacing w:after="0" w:line="254"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5"/>
        <w:spacing w:after="0"/>
        <w:tabs>
          <w:tab w:leader="none" w:pos="515" w:val="left"/>
          <w:tab w:leader="none" w:pos="2075"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2" w:lineRule="exact"/>
        <w:rPr>
          <w:sz w:val="24"/>
          <w:szCs w:val="24"/>
          <w:color w:val="auto"/>
        </w:rPr>
      </w:pPr>
    </w:p>
    <w:p>
      <w:pPr>
        <w:sectPr>
          <w:pgSz w:w="11900" w:h="16838" w:orient="portrait"/>
          <w:cols w:equalWidth="0" w:num="3">
            <w:col w:w="3180" w:space="720"/>
            <w:col w:w="3105" w:space="720"/>
            <w:col w:w="335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2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500" w:type="dxa"/>
            <w:vAlign w:val="bottom"/>
          </w:tcPr>
          <w:p>
            <w:pPr>
              <w:ind w:left="3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0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160" w:type="dxa"/>
            <w:vAlign w:val="bottom"/>
            <w:gridSpan w:val="5"/>
          </w:tcPr>
          <w:p>
            <w:pPr>
              <w:spacing w:after="0"/>
              <w:rPr>
                <w:sz w:val="20"/>
                <w:szCs w:val="20"/>
                <w:color w:val="auto"/>
              </w:rPr>
            </w:pPr>
            <w:r>
              <w:rPr>
                <w:rFonts w:ascii="Arial" w:cs="Arial" w:eastAsia="Arial" w:hAnsi="Arial"/>
                <w:sz w:val="16"/>
                <w:szCs w:val="16"/>
                <w:color w:val="0000FF"/>
              </w:rPr>
              <w:t>NY</w:t>
            </w:r>
          </w:p>
        </w:tc>
        <w:tc>
          <w:tcPr>
            <w:tcW w:w="1060" w:type="dxa"/>
            <w:vAlign w:val="bottom"/>
          </w:tcPr>
          <w:p>
            <w:pPr>
              <w:ind w:left="60"/>
              <w:spacing w:after="0"/>
              <w:rPr>
                <w:sz w:val="20"/>
                <w:szCs w:val="20"/>
                <w:color w:val="auto"/>
              </w:rPr>
            </w:pPr>
            <w:r>
              <w:rPr>
                <w:rFonts w:ascii="Arial" w:cs="Arial" w:eastAsia="Arial" w:hAnsi="Arial"/>
                <w:sz w:val="16"/>
                <w:szCs w:val="16"/>
                <w:color w:val="0000FF"/>
              </w:rPr>
              <w:t>10020</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60" w:type="dxa"/>
            <w:vAlign w:val="bottom"/>
            <w:gridSpan w:val="9"/>
            <w:vMerge w:val="restart"/>
          </w:tcPr>
          <w:p>
            <w:pPr>
              <w:jc w:val="right"/>
              <w:ind w:righ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gridSpan w:val="2"/>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6760" w:type="dxa"/>
            <w:vAlign w:val="bottom"/>
            <w:tcBorders>
              <w:top w:val="single" w:sz="8" w:color="2C2C2C"/>
            </w:tcBorders>
            <w:gridSpan w:val="16"/>
          </w:tcPr>
          <w:p>
            <w:pPr>
              <w:ind w:left="5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ind w:left="740"/>
              <w:spacing w:after="0" w:line="121"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60" w:type="dxa"/>
            <w:vAlign w:val="bottom"/>
            <w:gridSpan w:val="3"/>
          </w:tcPr>
          <w:p>
            <w:pPr>
              <w:ind w:left="74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gridSpan w:val="3"/>
            <w:vMerge w:val="restart"/>
          </w:tcPr>
          <w:p>
            <w:pPr>
              <w:ind w:left="820"/>
              <w:spacing w:after="0"/>
              <w:rPr>
                <w:sz w:val="20"/>
                <w:szCs w:val="20"/>
                <w:color w:val="auto"/>
              </w:rPr>
            </w:pPr>
            <w:r>
              <w:rPr>
                <w:rFonts w:ascii="Arial" w:cs="Arial" w:eastAsia="Arial" w:hAnsi="Arial"/>
                <w:sz w:val="16"/>
                <w:szCs w:val="16"/>
                <w:color w:val="0000FF"/>
              </w:rPr>
              <w:t>08/27/2021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740" w:type="dxa"/>
            <w:vAlign w:val="bottom"/>
            <w:vMerge w:val="restart"/>
          </w:tcPr>
          <w:p>
            <w:pPr>
              <w:jc w:val="right"/>
              <w:ind w:right="62"/>
              <w:spacing w:after="0"/>
              <w:rPr>
                <w:sz w:val="20"/>
                <w:szCs w:val="20"/>
                <w:color w:val="auto"/>
              </w:rPr>
            </w:pPr>
            <w:r>
              <w:rPr>
                <w:rFonts w:ascii="Arial" w:cs="Arial" w:eastAsia="Arial" w:hAnsi="Arial"/>
                <w:sz w:val="16"/>
                <w:szCs w:val="16"/>
                <w:color w:val="0000FF"/>
              </w:rPr>
              <w:t>310,394</w:t>
            </w:r>
          </w:p>
        </w:tc>
        <w:tc>
          <w:tcPr>
            <w:tcW w:w="54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100" w:type="dxa"/>
            <w:vAlign w:val="bottom"/>
          </w:tcPr>
          <w:p>
            <w:pPr>
              <w:spacing w:after="0"/>
              <w:rPr>
                <w:sz w:val="20"/>
                <w:szCs w:val="20"/>
                <w:color w:val="auto"/>
              </w:rPr>
            </w:pPr>
          </w:p>
        </w:tc>
        <w:tc>
          <w:tcPr>
            <w:tcW w:w="480" w:type="dxa"/>
            <w:vAlign w:val="bottom"/>
            <w:vMerge w:val="restart"/>
          </w:tcPr>
          <w:p>
            <w:pPr>
              <w:ind w:left="100"/>
              <w:spacing w:after="0"/>
              <w:rPr>
                <w:sz w:val="20"/>
                <w:szCs w:val="20"/>
                <w:color w:val="auto"/>
              </w:rPr>
            </w:pPr>
            <w:r>
              <w:rPr>
                <w:rFonts w:ascii="Arial" w:cs="Arial" w:eastAsia="Arial" w:hAnsi="Arial"/>
                <w:sz w:val="10"/>
                <w:szCs w:val="10"/>
                <w:color w:val="008000"/>
              </w:rPr>
              <w:t>(2)</w:t>
            </w:r>
          </w:p>
        </w:tc>
        <w:tc>
          <w:tcPr>
            <w:tcW w:w="1540" w:type="dxa"/>
            <w:vAlign w:val="bottom"/>
            <w:gridSpan w:val="3"/>
            <w:vMerge w:val="restart"/>
          </w:tcPr>
          <w:p>
            <w:pPr>
              <w:ind w:left="300"/>
              <w:spacing w:after="0"/>
              <w:rPr>
                <w:sz w:val="20"/>
                <w:szCs w:val="20"/>
                <w:color w:val="auto"/>
              </w:rPr>
            </w:pPr>
            <w:r>
              <w:rPr>
                <w:rFonts w:ascii="Arial" w:cs="Arial" w:eastAsia="Arial" w:hAnsi="Arial"/>
                <w:sz w:val="16"/>
                <w:szCs w:val="16"/>
                <w:color w:val="0000FF"/>
              </w:rPr>
              <w:t>310,394</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6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(3)(4)</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60" w:type="dxa"/>
            <w:vAlign w:val="bottom"/>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820" w:type="dxa"/>
            <w:vAlign w:val="bottom"/>
            <w:tcBorders>
              <w:right w:val="single" w:sz="8" w:color="2C2C2C"/>
            </w:tcBorders>
            <w:gridSpan w:val="4"/>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6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of</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20" w:type="dxa"/>
            <w:vAlign w:val="bottom"/>
            <w:tcBorders>
              <w:right w:val="single" w:sz="8" w:color="2C2C2C"/>
            </w:tcBorders>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7"/>
              </w:rPr>
              <w:t>Underlying</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720" w:type="dxa"/>
            <w:vAlign w:val="bottom"/>
            <w:gridSpan w:val="4"/>
          </w:tcPr>
          <w:p>
            <w:pPr>
              <w:ind w:left="80"/>
              <w:spacing w:after="0"/>
              <w:rPr>
                <w:sz w:val="20"/>
                <w:szCs w:val="20"/>
                <w:color w:val="auto"/>
              </w:rPr>
            </w:pPr>
            <w:r>
              <w:rPr>
                <w:rFonts w:ascii="Arial" w:cs="Arial" w:eastAsia="Arial" w:hAnsi="Arial"/>
                <w:sz w:val="12"/>
                <w:szCs w:val="12"/>
                <w:color w:val="0000FF"/>
              </w:rPr>
              <w:t>3.50%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Convertible</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color w:val="0000FF"/>
              </w:rPr>
              <w:t>310,394</w:t>
            </w:r>
            <w:r>
              <w:rPr>
                <w:rFonts w:ascii="Arial" w:cs="Arial" w:eastAsia="Arial" w:hAnsi="Arial"/>
                <w:sz w:val="20"/>
                <w:szCs w:val="20"/>
                <w:color w:val="008000"/>
                <w:vertAlign w:val="superscript"/>
              </w:rPr>
              <w:t>(1)</w:t>
            </w:r>
          </w:p>
        </w:tc>
        <w:tc>
          <w:tcPr>
            <w:tcW w:w="760" w:type="dxa"/>
            <w:vAlign w:val="bottom"/>
            <w:vMerge w:val="restart"/>
          </w:tcPr>
          <w:p>
            <w:pPr>
              <w:ind w:left="380"/>
              <w:spacing w:after="0"/>
              <w:rPr>
                <w:sz w:val="20"/>
                <w:szCs w:val="20"/>
                <w:color w:val="auto"/>
              </w:rPr>
            </w:pPr>
            <w:r>
              <w:rPr>
                <w:rFonts w:ascii="Arial" w:cs="Arial" w:eastAsia="Arial" w:hAnsi="Arial"/>
                <w:sz w:val="10"/>
                <w:szCs w:val="10"/>
                <w:color w:val="008000"/>
              </w:rPr>
              <w:t>(5)</w:t>
            </w:r>
          </w:p>
        </w:tc>
        <w:tc>
          <w:tcPr>
            <w:tcW w:w="740" w:type="dxa"/>
            <w:vAlign w:val="bottom"/>
            <w:vMerge w:val="restart"/>
          </w:tcPr>
          <w:p>
            <w:pPr>
              <w:jc w:val="center"/>
              <w:ind w:left="2"/>
              <w:spacing w:after="0"/>
              <w:rPr>
                <w:sz w:val="20"/>
                <w:szCs w:val="20"/>
                <w:color w:val="auto"/>
              </w:rPr>
            </w:pPr>
            <w:r>
              <w:rPr>
                <w:rFonts w:ascii="Arial" w:cs="Arial" w:eastAsia="Arial" w:hAnsi="Arial"/>
                <w:sz w:val="10"/>
                <w:szCs w:val="10"/>
                <w:color w:val="008000"/>
                <w:w w:val="97"/>
              </w:rPr>
              <w:t>(5)</w:t>
            </w:r>
          </w:p>
        </w:tc>
        <w:tc>
          <w:tcPr>
            <w:tcW w:w="540" w:type="dxa"/>
            <w:vAlign w:val="bottom"/>
            <w:vMerge w:val="restart"/>
          </w:tcPr>
          <w:p>
            <w:pPr>
              <w:ind w:left="60"/>
              <w:spacing w:after="0"/>
              <w:rPr>
                <w:sz w:val="20"/>
                <w:szCs w:val="20"/>
                <w:color w:val="auto"/>
              </w:rPr>
            </w:pPr>
            <w:r>
              <w:rPr>
                <w:rFonts w:ascii="Arial" w:cs="Arial" w:eastAsia="Arial" w:hAnsi="Arial"/>
                <w:sz w:val="12"/>
                <w:szCs w:val="12"/>
                <w:color w:val="0000FF"/>
                <w:w w:val="94"/>
              </w:rPr>
              <w:t>Common</w:t>
            </w:r>
          </w:p>
        </w:tc>
        <w:tc>
          <w:tcPr>
            <w:tcW w:w="100" w:type="dxa"/>
            <w:vAlign w:val="bottom"/>
          </w:tcPr>
          <w:p>
            <w:pPr>
              <w:spacing w:after="0"/>
              <w:rPr>
                <w:sz w:val="11"/>
                <w:szCs w:val="11"/>
                <w:color w:val="auto"/>
              </w:rPr>
            </w:pPr>
          </w:p>
        </w:tc>
        <w:tc>
          <w:tcPr>
            <w:tcW w:w="480" w:type="dxa"/>
            <w:vAlign w:val="bottom"/>
            <w:vMerge w:val="restart"/>
          </w:tcPr>
          <w:p>
            <w:pPr>
              <w:ind w:left="160"/>
              <w:spacing w:after="0"/>
              <w:rPr>
                <w:sz w:val="20"/>
                <w:szCs w:val="20"/>
                <w:color w:val="auto"/>
              </w:rPr>
            </w:pPr>
            <w:r>
              <w:rPr>
                <w:rFonts w:ascii="Arial" w:cs="Arial" w:eastAsia="Arial" w:hAnsi="Arial"/>
                <w:sz w:val="10"/>
                <w:szCs w:val="10"/>
                <w:color w:val="008000"/>
              </w:rPr>
              <w:t>(2)</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Senior</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2"/>
                <w:szCs w:val="12"/>
                <w:color w:val="0000FF"/>
              </w:rPr>
              <w:t>08/27/2021</w:t>
            </w: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40" w:type="dxa"/>
            <w:vAlign w:val="bottom"/>
            <w:gridSpan w:val="5"/>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vMerge w:val="restart"/>
          </w:tcPr>
          <w:p>
            <w:pPr>
              <w:jc w:val="right"/>
              <w:ind w:right="103"/>
              <w:spacing w:after="0"/>
              <w:rPr>
                <w:sz w:val="20"/>
                <w:szCs w:val="20"/>
                <w:color w:val="auto"/>
              </w:rPr>
            </w:pPr>
            <w:r>
              <w:rPr>
                <w:rFonts w:ascii="Arial" w:cs="Arial" w:eastAsia="Arial" w:hAnsi="Arial"/>
                <w:sz w:val="12"/>
                <w:szCs w:val="12"/>
                <w:color w:val="0000FF"/>
              </w:rPr>
              <w:t>1,689,606</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Borders>
              <w:right w:val="single" w:sz="8" w:color="2C2C2C"/>
            </w:tcBorders>
            <w:gridSpan w:val="3"/>
            <w:vMerge w:val="restart"/>
          </w:tcPr>
          <w:p>
            <w:pPr>
              <w:jc w:val="right"/>
              <w:ind w:right="80"/>
              <w:spacing w:after="0"/>
              <w:rPr>
                <w:sz w:val="20"/>
                <w:szCs w:val="20"/>
                <w:color w:val="auto"/>
              </w:rPr>
            </w:pPr>
            <w:r>
              <w:rPr>
                <w:rFonts w:ascii="Arial" w:cs="Arial" w:eastAsia="Arial" w:hAnsi="Arial"/>
                <w:sz w:val="10"/>
                <w:szCs w:val="10"/>
                <w:color w:val="008000"/>
                <w:w w:val="89"/>
              </w:rPr>
              <w:t>(3)(4)</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86"/>
              </w:rPr>
              <w:t>Footnotes</w:t>
            </w:r>
          </w:p>
        </w:tc>
        <w:tc>
          <w:tcPr>
            <w:tcW w:w="3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28" w:lineRule="exact"/>
              <w:rPr>
                <w:sz w:val="20"/>
                <w:szCs w:val="20"/>
                <w:color w:val="auto"/>
              </w:rPr>
            </w:pPr>
            <w:r>
              <w:rPr>
                <w:rFonts w:ascii="Arial" w:cs="Arial" w:eastAsia="Arial" w:hAnsi="Arial"/>
                <w:sz w:val="12"/>
                <w:szCs w:val="12"/>
                <w:color w:val="0000FF"/>
              </w:rPr>
              <w:t>Notes due</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20" w:type="dxa"/>
            <w:vAlign w:val="bottom"/>
            <w:gridSpan w:val="4"/>
          </w:tcPr>
          <w:p>
            <w:pPr>
              <w:ind w:left="80"/>
              <w:spacing w:after="0"/>
              <w:rPr>
                <w:sz w:val="20"/>
                <w:szCs w:val="20"/>
                <w:color w:val="auto"/>
              </w:rPr>
            </w:pPr>
            <w:r>
              <w:rPr>
                <w:rFonts w:ascii="Arial" w:cs="Arial" w:eastAsia="Arial" w:hAnsi="Arial"/>
                <w:sz w:val="12"/>
                <w:szCs w:val="12"/>
                <w:color w:val="0000FF"/>
              </w:rPr>
              <w:t>2024</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20" w:type="dxa"/>
            <w:vAlign w:val="bottom"/>
            <w:gridSpan w:val="4"/>
          </w:tcPr>
          <w:p>
            <w:pPr>
              <w:ind w:left="80"/>
              <w:spacing w:after="0"/>
              <w:rPr>
                <w:sz w:val="20"/>
                <w:szCs w:val="20"/>
                <w:color w:val="auto"/>
              </w:rPr>
            </w:pPr>
            <w:r>
              <w:rPr>
                <w:rFonts w:ascii="Arial" w:cs="Arial" w:eastAsia="Arial" w:hAnsi="Arial"/>
                <w:sz w:val="12"/>
                <w:szCs w:val="12"/>
                <w:color w:val="0000FF"/>
              </w:rPr>
              <w:t>3.50%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Convertible</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1040" w:type="dxa"/>
            <w:vAlign w:val="bottom"/>
            <w:gridSpan w:val="5"/>
            <w:vMerge w:val="restart"/>
          </w:tcPr>
          <w:p>
            <w:pPr>
              <w:jc w:val="center"/>
              <w:spacing w:after="0"/>
              <w:rPr>
                <w:sz w:val="20"/>
                <w:szCs w:val="20"/>
                <w:color w:val="auto"/>
              </w:rPr>
            </w:pPr>
            <w:r>
              <w:rPr>
                <w:rFonts w:ascii="Arial" w:cs="Arial" w:eastAsia="Arial" w:hAnsi="Arial"/>
                <w:sz w:val="12"/>
                <w:szCs w:val="12"/>
                <w:color w:val="0000FF"/>
              </w:rPr>
              <w:t>1,689,606</w:t>
            </w:r>
            <w:r>
              <w:rPr>
                <w:rFonts w:ascii="Arial" w:cs="Arial" w:eastAsia="Arial" w:hAnsi="Arial"/>
                <w:sz w:val="20"/>
                <w:szCs w:val="20"/>
                <w:color w:val="008000"/>
                <w:vertAlign w:val="superscript"/>
              </w:rPr>
              <w:t>(1)</w:t>
            </w:r>
          </w:p>
        </w:tc>
        <w:tc>
          <w:tcPr>
            <w:tcW w:w="760" w:type="dxa"/>
            <w:vAlign w:val="bottom"/>
            <w:vMerge w:val="restart"/>
          </w:tcPr>
          <w:p>
            <w:pPr>
              <w:ind w:left="380"/>
              <w:spacing w:after="0"/>
              <w:rPr>
                <w:sz w:val="20"/>
                <w:szCs w:val="20"/>
                <w:color w:val="auto"/>
              </w:rPr>
            </w:pPr>
            <w:r>
              <w:rPr>
                <w:rFonts w:ascii="Arial" w:cs="Arial" w:eastAsia="Arial" w:hAnsi="Arial"/>
                <w:sz w:val="10"/>
                <w:szCs w:val="10"/>
                <w:color w:val="008000"/>
              </w:rPr>
              <w:t>(5)</w:t>
            </w:r>
          </w:p>
        </w:tc>
        <w:tc>
          <w:tcPr>
            <w:tcW w:w="740" w:type="dxa"/>
            <w:vAlign w:val="bottom"/>
            <w:vMerge w:val="restart"/>
          </w:tcPr>
          <w:p>
            <w:pPr>
              <w:jc w:val="center"/>
              <w:ind w:left="2"/>
              <w:spacing w:after="0"/>
              <w:rPr>
                <w:sz w:val="20"/>
                <w:szCs w:val="20"/>
                <w:color w:val="auto"/>
              </w:rPr>
            </w:pPr>
            <w:r>
              <w:rPr>
                <w:rFonts w:ascii="Arial" w:cs="Arial" w:eastAsia="Arial" w:hAnsi="Arial"/>
                <w:sz w:val="10"/>
                <w:szCs w:val="10"/>
                <w:color w:val="008000"/>
                <w:w w:val="97"/>
              </w:rPr>
              <w:t>(5)</w:t>
            </w:r>
          </w:p>
        </w:tc>
        <w:tc>
          <w:tcPr>
            <w:tcW w:w="540" w:type="dxa"/>
            <w:vAlign w:val="bottom"/>
            <w:vMerge w:val="restart"/>
          </w:tcPr>
          <w:p>
            <w:pPr>
              <w:ind w:left="60"/>
              <w:spacing w:after="0"/>
              <w:rPr>
                <w:sz w:val="20"/>
                <w:szCs w:val="20"/>
                <w:color w:val="auto"/>
              </w:rPr>
            </w:pPr>
            <w:r>
              <w:rPr>
                <w:rFonts w:ascii="Arial" w:cs="Arial" w:eastAsia="Arial" w:hAnsi="Arial"/>
                <w:sz w:val="12"/>
                <w:szCs w:val="12"/>
                <w:color w:val="0000FF"/>
                <w:w w:val="94"/>
              </w:rPr>
              <w:t>Common</w:t>
            </w:r>
          </w:p>
        </w:tc>
        <w:tc>
          <w:tcPr>
            <w:tcW w:w="100" w:type="dxa"/>
            <w:vAlign w:val="bottom"/>
          </w:tcPr>
          <w:p>
            <w:pPr>
              <w:spacing w:after="0"/>
              <w:rPr>
                <w:sz w:val="11"/>
                <w:szCs w:val="11"/>
                <w:color w:val="auto"/>
              </w:rPr>
            </w:pPr>
          </w:p>
        </w:tc>
        <w:tc>
          <w:tcPr>
            <w:tcW w:w="480" w:type="dxa"/>
            <w:vAlign w:val="bottom"/>
            <w:vMerge w:val="restart"/>
          </w:tcPr>
          <w:p>
            <w:pPr>
              <w:ind w:left="160"/>
              <w:spacing w:after="0"/>
              <w:rPr>
                <w:sz w:val="20"/>
                <w:szCs w:val="20"/>
                <w:color w:val="auto"/>
              </w:rPr>
            </w:pPr>
            <w:r>
              <w:rPr>
                <w:rFonts w:ascii="Arial" w:cs="Arial" w:eastAsia="Arial" w:hAnsi="Arial"/>
                <w:sz w:val="10"/>
                <w:szCs w:val="10"/>
                <w:color w:val="008000"/>
              </w:rPr>
              <w:t>(2)</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Senior</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2"/>
                <w:szCs w:val="12"/>
                <w:color w:val="0000FF"/>
              </w:rPr>
              <w:t>08/27/2021</w:t>
            </w: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40" w:type="dxa"/>
            <w:vAlign w:val="bottom"/>
            <w:gridSpan w:val="5"/>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vMerge w:val="restart"/>
          </w:tcPr>
          <w:p>
            <w:pPr>
              <w:jc w:val="right"/>
              <w:ind w:right="303"/>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Borders>
              <w:right w:val="single" w:sz="8" w:color="2C2C2C"/>
            </w:tcBorders>
            <w:gridSpan w:val="3"/>
            <w:vMerge w:val="restart"/>
          </w:tcPr>
          <w:p>
            <w:pPr>
              <w:jc w:val="right"/>
              <w:ind w:right="80"/>
              <w:spacing w:after="0"/>
              <w:rPr>
                <w:sz w:val="20"/>
                <w:szCs w:val="20"/>
                <w:color w:val="auto"/>
              </w:rPr>
            </w:pPr>
            <w:r>
              <w:rPr>
                <w:rFonts w:ascii="Arial" w:cs="Arial" w:eastAsia="Arial" w:hAnsi="Arial"/>
                <w:sz w:val="10"/>
                <w:szCs w:val="10"/>
                <w:color w:val="008000"/>
                <w:w w:val="89"/>
              </w:rPr>
              <w:t>(3)(4)</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86"/>
              </w:rPr>
              <w:t>Footnotes</w:t>
            </w:r>
          </w:p>
        </w:tc>
        <w:tc>
          <w:tcPr>
            <w:tcW w:w="3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28" w:lineRule="exact"/>
              <w:rPr>
                <w:sz w:val="20"/>
                <w:szCs w:val="20"/>
                <w:color w:val="auto"/>
              </w:rPr>
            </w:pPr>
            <w:r>
              <w:rPr>
                <w:rFonts w:ascii="Arial" w:cs="Arial" w:eastAsia="Arial" w:hAnsi="Arial"/>
                <w:sz w:val="12"/>
                <w:szCs w:val="12"/>
                <w:color w:val="0000FF"/>
              </w:rPr>
              <w:t>Notes due</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20" w:type="dxa"/>
            <w:vAlign w:val="bottom"/>
            <w:gridSpan w:val="4"/>
          </w:tcPr>
          <w:p>
            <w:pPr>
              <w:ind w:left="80"/>
              <w:spacing w:after="0"/>
              <w:rPr>
                <w:sz w:val="20"/>
                <w:szCs w:val="20"/>
                <w:color w:val="auto"/>
              </w:rPr>
            </w:pPr>
            <w:r>
              <w:rPr>
                <w:rFonts w:ascii="Arial" w:cs="Arial" w:eastAsia="Arial" w:hAnsi="Arial"/>
                <w:sz w:val="12"/>
                <w:szCs w:val="12"/>
                <w:color w:val="0000FF"/>
              </w:rPr>
              <w:t>2024</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9"/>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8"/>
          </w:tcPr>
          <w:p>
            <w:pPr>
              <w:ind w:left="20"/>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Orogen Echo LLC</w:t>
              </w:r>
            </w:hyperlink>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8"/>
          </w:tcPr>
          <w:p>
            <w:pPr>
              <w:ind w:left="20"/>
              <w:spacing w:after="0"/>
              <w:rPr>
                <w:sz w:val="20"/>
                <w:szCs w:val="20"/>
                <w:color w:val="auto"/>
              </w:rPr>
            </w:pPr>
            <w:r>
              <w:rPr>
                <w:rFonts w:ascii="Arial" w:cs="Arial" w:eastAsia="Arial" w:hAnsi="Arial"/>
                <w:sz w:val="16"/>
                <w:szCs w:val="16"/>
                <w:color w:val="0000FF"/>
              </w:rPr>
              <w:t>ONE ROCKEFELLER PLAZA</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0000FF"/>
              </w:rPr>
              <w:t>SUITE 2416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NY</w:t>
            </w:r>
          </w:p>
        </w:tc>
        <w:tc>
          <w:tcPr>
            <w:tcW w:w="1060" w:type="dxa"/>
            <w:vAlign w:val="bottom"/>
          </w:tcPr>
          <w:p>
            <w:pPr>
              <w:ind w:left="400"/>
              <w:spacing w:after="0"/>
              <w:rPr>
                <w:sz w:val="20"/>
                <w:szCs w:val="20"/>
                <w:color w:val="auto"/>
              </w:rPr>
            </w:pPr>
            <w:r>
              <w:rPr>
                <w:rFonts w:ascii="Arial" w:cs="Arial" w:eastAsia="Arial" w:hAnsi="Arial"/>
                <w:sz w:val="16"/>
                <w:szCs w:val="16"/>
                <w:color w:val="0000FF"/>
              </w:rPr>
              <w:t>10020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8"/>
          </w:tcPr>
          <w:p>
            <w:pPr>
              <w:ind w:left="20"/>
              <w:spacing w:after="0" w:line="205" w:lineRule="exact"/>
              <w:rPr>
                <w:rFonts w:ascii="Arial" w:cs="Arial" w:eastAsia="Arial" w:hAnsi="Arial"/>
                <w:sz w:val="20"/>
                <w:szCs w:val="20"/>
                <w:color w:val="0000EE"/>
              </w:rPr>
            </w:pPr>
            <w:hyperlink r:id="rId14">
              <w:r>
                <w:rPr>
                  <w:rFonts w:ascii="Arial" w:cs="Arial" w:eastAsia="Arial" w:hAnsi="Arial"/>
                  <w:sz w:val="20"/>
                  <w:szCs w:val="20"/>
                  <w:color w:val="0000EE"/>
                </w:rPr>
                <w:t>Orogen Group LLC</w:t>
              </w:r>
            </w:hyperlink>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9"/>
          </w:tcPr>
          <w:p>
            <w:pPr>
              <w:ind w:left="20"/>
              <w:spacing w:after="0"/>
              <w:rPr>
                <w:sz w:val="20"/>
                <w:szCs w:val="20"/>
                <w:color w:val="auto"/>
              </w:rPr>
            </w:pPr>
            <w:r>
              <w:rPr>
                <w:rFonts w:ascii="Arial" w:cs="Arial" w:eastAsia="Arial" w:hAnsi="Arial"/>
                <w:sz w:val="16"/>
                <w:szCs w:val="16"/>
                <w:color w:val="0000FF"/>
              </w:rPr>
              <w:t>ONE ROCKEFELLER PLAZA SUITE 2416</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NY</w:t>
            </w:r>
          </w:p>
        </w:tc>
        <w:tc>
          <w:tcPr>
            <w:tcW w:w="1060" w:type="dxa"/>
            <w:vAlign w:val="bottom"/>
          </w:tcPr>
          <w:p>
            <w:pPr>
              <w:ind w:left="400"/>
              <w:spacing w:after="0"/>
              <w:rPr>
                <w:sz w:val="20"/>
                <w:szCs w:val="20"/>
                <w:color w:val="auto"/>
              </w:rPr>
            </w:pPr>
            <w:r>
              <w:rPr>
                <w:rFonts w:ascii="Arial" w:cs="Arial" w:eastAsia="Arial" w:hAnsi="Arial"/>
                <w:sz w:val="16"/>
                <w:szCs w:val="16"/>
                <w:color w:val="0000FF"/>
              </w:rPr>
              <w:t>10020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8"/>
          </w:tcPr>
          <w:p>
            <w:pPr>
              <w:ind w:left="20"/>
              <w:spacing w:after="0" w:line="205" w:lineRule="exact"/>
              <w:rPr>
                <w:rFonts w:ascii="Arial" w:cs="Arial" w:eastAsia="Arial" w:hAnsi="Arial"/>
                <w:sz w:val="20"/>
                <w:szCs w:val="20"/>
                <w:color w:val="0000EE"/>
              </w:rPr>
            </w:pPr>
            <w:hyperlink r:id="rId15">
              <w:r>
                <w:rPr>
                  <w:rFonts w:ascii="Arial" w:cs="Arial" w:eastAsia="Arial" w:hAnsi="Arial"/>
                  <w:sz w:val="20"/>
                  <w:szCs w:val="20"/>
                  <w:color w:val="0000EE"/>
                </w:rPr>
                <w:t>Orogen Holdings LLC</w:t>
              </w:r>
            </w:hyperlink>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-6175375</wp:posOffset>
            </wp:positionV>
            <wp:extent cx="28575" cy="2383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383790"/>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THE OROGEN GROUP LLC</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ONE ROCKEFELLER PLAZA SUITE 2416</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8"/>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2"/>
        </w:trPr>
        <w:tc>
          <w:tcPr>
            <w:tcW w:w="8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60"/>
              <w:spacing w:after="0"/>
              <w:rPr>
                <w:sz w:val="20"/>
                <w:szCs w:val="20"/>
                <w:color w:val="auto"/>
              </w:rPr>
            </w:pPr>
            <w:r>
              <w:rPr>
                <w:rFonts w:ascii="Arial" w:cs="Arial" w:eastAsia="Arial" w:hAnsi="Arial"/>
                <w:sz w:val="16"/>
                <w:szCs w:val="16"/>
                <w:color w:val="0000FF"/>
              </w:rPr>
              <w:t>NY</w:t>
            </w:r>
          </w:p>
        </w:tc>
        <w:tc>
          <w:tcPr>
            <w:tcW w:w="1600" w:type="dxa"/>
            <w:vAlign w:val="bottom"/>
          </w:tcPr>
          <w:p>
            <w:pPr>
              <w:ind w:left="220"/>
              <w:spacing w:after="0"/>
              <w:rPr>
                <w:sz w:val="20"/>
                <w:szCs w:val="20"/>
                <w:color w:val="auto"/>
              </w:rPr>
            </w:pPr>
            <w:r>
              <w:rPr>
                <w:rFonts w:ascii="Arial" w:cs="Arial" w:eastAsia="Arial" w:hAnsi="Arial"/>
                <w:sz w:val="16"/>
                <w:szCs w:val="16"/>
                <w:color w:val="0000FF"/>
              </w:rPr>
              <w:t>10020</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4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580" w:type="dxa"/>
            <w:vAlign w:val="bottom"/>
            <w:gridSpan w:val="4"/>
          </w:tcPr>
          <w:p>
            <w:pPr>
              <w:ind w:left="20"/>
              <w:spacing w:after="0" w:line="205" w:lineRule="exact"/>
              <w:rPr>
                <w:rFonts w:ascii="Arial" w:cs="Arial" w:eastAsia="Arial" w:hAnsi="Arial"/>
                <w:sz w:val="20"/>
                <w:szCs w:val="20"/>
                <w:color w:val="0000EE"/>
              </w:rPr>
            </w:pPr>
            <w:hyperlink r:id="rId17">
              <w:r>
                <w:rPr>
                  <w:rFonts w:ascii="Arial" w:cs="Arial" w:eastAsia="Arial" w:hAnsi="Arial"/>
                  <w:sz w:val="20"/>
                  <w:szCs w:val="20"/>
                  <w:color w:val="0000EE"/>
                </w:rPr>
                <w:t>PANDIT VIKRAM S</w:t>
              </w:r>
            </w:hyperlink>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40" w:type="dxa"/>
            <w:vAlign w:val="bottom"/>
            <w:gridSpan w:val="2"/>
          </w:tcPr>
          <w:p>
            <w:pPr>
              <w:ind w:left="2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8605" cy="10527030"/>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-860425</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-860425</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-207645</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-207645</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THE OROGEN GROUP LLC</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ONE ROCKEFELLER PLAZA SUITE 2416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88265</wp:posOffset>
            </wp:positionV>
            <wp:extent cx="26828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82875" cy="4127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2"/>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300" w:type="dxa"/>
            <w:vAlign w:val="bottom"/>
            <w:gridSpan w:val="6"/>
          </w:tcPr>
          <w:p>
            <w:pPr>
              <w:ind w:left="40"/>
              <w:spacing w:after="0"/>
              <w:rPr>
                <w:sz w:val="20"/>
                <w:szCs w:val="20"/>
                <w:color w:val="auto"/>
              </w:rPr>
            </w:pPr>
            <w:r>
              <w:rPr>
                <w:rFonts w:ascii="Arial" w:cs="Arial" w:eastAsia="Arial" w:hAnsi="Arial"/>
                <w:sz w:val="16"/>
                <w:szCs w:val="16"/>
                <w:color w:val="0000FF"/>
              </w:rPr>
              <w:t>NY</w:t>
            </w:r>
          </w:p>
        </w:tc>
        <w:tc>
          <w:tcPr>
            <w:tcW w:w="1520" w:type="dxa"/>
            <w:vAlign w:val="bottom"/>
          </w:tcPr>
          <w:p>
            <w:pPr>
              <w:ind w:left="140"/>
              <w:spacing w:after="0"/>
              <w:rPr>
                <w:sz w:val="20"/>
                <w:szCs w:val="20"/>
                <w:color w:val="auto"/>
              </w:rPr>
            </w:pPr>
            <w:r>
              <w:rPr>
                <w:rFonts w:ascii="Arial" w:cs="Arial" w:eastAsia="Arial" w:hAnsi="Arial"/>
                <w:sz w:val="16"/>
                <w:szCs w:val="16"/>
                <w:color w:val="0000FF"/>
              </w:rPr>
              <w:t>10020</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660" w:type="dxa"/>
            <w:vAlign w:val="bottom"/>
            <w:gridSpan w:val="8"/>
          </w:tcPr>
          <w:p>
            <w:pPr>
              <w:ind w:left="20"/>
              <w:spacing w:after="0" w:line="205" w:lineRule="exact"/>
              <w:rPr>
                <w:rFonts w:ascii="Arial" w:cs="Arial" w:eastAsia="Arial" w:hAnsi="Arial"/>
                <w:sz w:val="20"/>
                <w:szCs w:val="20"/>
                <w:color w:val="0000EE"/>
                <w:w w:val="98"/>
              </w:rPr>
            </w:pPr>
            <w:hyperlink r:id="rId24">
              <w:r>
                <w:rPr>
                  <w:rFonts w:ascii="Arial" w:cs="Arial" w:eastAsia="Arial" w:hAnsi="Arial"/>
                  <w:sz w:val="20"/>
                  <w:szCs w:val="20"/>
                  <w:color w:val="0000EE"/>
                  <w:w w:val="98"/>
                </w:rPr>
                <w:t>Atairos-Orogen Holdings, LLC</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C/O ATAIROS MANAGEMENT, L.P.</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6"/>
              </w:rPr>
              <w:t>40 MORRIS ROAD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BRYN MAWR</w:t>
            </w:r>
          </w:p>
        </w:tc>
        <w:tc>
          <w:tcPr>
            <w:tcW w:w="1300" w:type="dxa"/>
            <w:vAlign w:val="bottom"/>
            <w:gridSpan w:val="6"/>
          </w:tcPr>
          <w:p>
            <w:pPr>
              <w:ind w:left="40"/>
              <w:spacing w:after="0"/>
              <w:rPr>
                <w:sz w:val="20"/>
                <w:szCs w:val="20"/>
                <w:color w:val="auto"/>
              </w:rPr>
            </w:pPr>
            <w:r>
              <w:rPr>
                <w:rFonts w:ascii="Arial" w:cs="Arial" w:eastAsia="Arial" w:hAnsi="Arial"/>
                <w:sz w:val="16"/>
                <w:szCs w:val="16"/>
                <w:color w:val="0000FF"/>
              </w:rPr>
              <w:t>PA</w:t>
            </w:r>
          </w:p>
        </w:tc>
        <w:tc>
          <w:tcPr>
            <w:tcW w:w="1520" w:type="dxa"/>
            <w:vAlign w:val="bottom"/>
          </w:tcPr>
          <w:p>
            <w:pPr>
              <w:ind w:left="140"/>
              <w:spacing w:after="0"/>
              <w:rPr>
                <w:sz w:val="20"/>
                <w:szCs w:val="20"/>
                <w:color w:val="auto"/>
              </w:rPr>
            </w:pPr>
            <w:r>
              <w:rPr>
                <w:rFonts w:ascii="Arial" w:cs="Arial" w:eastAsia="Arial" w:hAnsi="Arial"/>
                <w:sz w:val="16"/>
                <w:szCs w:val="16"/>
                <w:color w:val="0000FF"/>
              </w:rPr>
              <w:t>19010</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660" w:type="dxa"/>
            <w:vAlign w:val="bottom"/>
            <w:gridSpan w:val="8"/>
          </w:tcPr>
          <w:p>
            <w:pPr>
              <w:ind w:left="20"/>
              <w:spacing w:after="0" w:line="205" w:lineRule="exact"/>
              <w:rPr>
                <w:rFonts w:ascii="Arial" w:cs="Arial" w:eastAsia="Arial" w:hAnsi="Arial"/>
                <w:sz w:val="20"/>
                <w:szCs w:val="20"/>
                <w:color w:val="0000EE"/>
              </w:rPr>
            </w:pPr>
            <w:hyperlink r:id="rId25">
              <w:r>
                <w:rPr>
                  <w:rFonts w:ascii="Arial" w:cs="Arial" w:eastAsia="Arial" w:hAnsi="Arial"/>
                  <w:sz w:val="20"/>
                  <w:szCs w:val="20"/>
                  <w:color w:val="0000EE"/>
                </w:rPr>
                <w:t>Atairos Group, Inc.</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C/O ATAIROS MANAGEMENT, L.P.</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6"/>
              </w:rPr>
              <w:t>40 MORRIS ROAD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BRYN MAWR</w:t>
            </w:r>
          </w:p>
        </w:tc>
        <w:tc>
          <w:tcPr>
            <w:tcW w:w="1300" w:type="dxa"/>
            <w:vAlign w:val="bottom"/>
            <w:gridSpan w:val="6"/>
          </w:tcPr>
          <w:p>
            <w:pPr>
              <w:ind w:left="40"/>
              <w:spacing w:after="0"/>
              <w:rPr>
                <w:sz w:val="20"/>
                <w:szCs w:val="20"/>
                <w:color w:val="auto"/>
              </w:rPr>
            </w:pPr>
            <w:r>
              <w:rPr>
                <w:rFonts w:ascii="Arial" w:cs="Arial" w:eastAsia="Arial" w:hAnsi="Arial"/>
                <w:sz w:val="16"/>
                <w:szCs w:val="16"/>
                <w:color w:val="0000FF"/>
              </w:rPr>
              <w:t>PA</w:t>
            </w:r>
          </w:p>
        </w:tc>
        <w:tc>
          <w:tcPr>
            <w:tcW w:w="1520" w:type="dxa"/>
            <w:vAlign w:val="bottom"/>
          </w:tcPr>
          <w:p>
            <w:pPr>
              <w:ind w:left="140"/>
              <w:spacing w:after="0"/>
              <w:rPr>
                <w:sz w:val="20"/>
                <w:szCs w:val="20"/>
                <w:color w:val="auto"/>
              </w:rPr>
            </w:pPr>
            <w:r>
              <w:rPr>
                <w:rFonts w:ascii="Arial" w:cs="Arial" w:eastAsia="Arial" w:hAnsi="Arial"/>
                <w:sz w:val="16"/>
                <w:szCs w:val="16"/>
                <w:color w:val="0000FF"/>
              </w:rPr>
              <w:t>19010</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660" w:type="dxa"/>
            <w:vAlign w:val="bottom"/>
            <w:gridSpan w:val="8"/>
          </w:tcPr>
          <w:p>
            <w:pPr>
              <w:ind w:left="20"/>
              <w:spacing w:after="0" w:line="205" w:lineRule="exact"/>
              <w:rPr>
                <w:rFonts w:ascii="Arial" w:cs="Arial" w:eastAsia="Arial" w:hAnsi="Arial"/>
                <w:sz w:val="20"/>
                <w:szCs w:val="20"/>
                <w:color w:val="0000EE"/>
              </w:rPr>
            </w:pPr>
            <w:hyperlink r:id="rId26">
              <w:r>
                <w:rPr>
                  <w:rFonts w:ascii="Arial" w:cs="Arial" w:eastAsia="Arial" w:hAnsi="Arial"/>
                  <w:sz w:val="20"/>
                  <w:szCs w:val="20"/>
                  <w:color w:val="0000EE"/>
                </w:rPr>
                <w:t>Atairos Partners, L.P.</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C/O ATAIROS MANAGEMENT, L.P.</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6"/>
              </w:rPr>
              <w:t>40 MORRIS ROAD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BRYN MAWR</w:t>
            </w:r>
          </w:p>
        </w:tc>
        <w:tc>
          <w:tcPr>
            <w:tcW w:w="1300" w:type="dxa"/>
            <w:vAlign w:val="bottom"/>
            <w:gridSpan w:val="6"/>
          </w:tcPr>
          <w:p>
            <w:pPr>
              <w:ind w:left="40"/>
              <w:spacing w:after="0"/>
              <w:rPr>
                <w:sz w:val="20"/>
                <w:szCs w:val="20"/>
                <w:color w:val="auto"/>
              </w:rPr>
            </w:pPr>
            <w:r>
              <w:rPr>
                <w:rFonts w:ascii="Arial" w:cs="Arial" w:eastAsia="Arial" w:hAnsi="Arial"/>
                <w:sz w:val="16"/>
                <w:szCs w:val="16"/>
                <w:color w:val="0000FF"/>
              </w:rPr>
              <w:t>PA</w:t>
            </w:r>
          </w:p>
        </w:tc>
        <w:tc>
          <w:tcPr>
            <w:tcW w:w="1520" w:type="dxa"/>
            <w:vAlign w:val="bottom"/>
          </w:tcPr>
          <w:p>
            <w:pPr>
              <w:ind w:left="140"/>
              <w:spacing w:after="0"/>
              <w:rPr>
                <w:sz w:val="20"/>
                <w:szCs w:val="20"/>
                <w:color w:val="auto"/>
              </w:rPr>
            </w:pPr>
            <w:r>
              <w:rPr>
                <w:rFonts w:ascii="Arial" w:cs="Arial" w:eastAsia="Arial" w:hAnsi="Arial"/>
                <w:sz w:val="16"/>
                <w:szCs w:val="16"/>
                <w:color w:val="0000FF"/>
              </w:rPr>
              <w:t>19010</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660" w:type="dxa"/>
            <w:vAlign w:val="bottom"/>
            <w:gridSpan w:val="8"/>
          </w:tcPr>
          <w:p>
            <w:pPr>
              <w:ind w:left="20"/>
              <w:spacing w:after="0" w:line="205" w:lineRule="exact"/>
              <w:rPr>
                <w:rFonts w:ascii="Arial" w:cs="Arial" w:eastAsia="Arial" w:hAnsi="Arial"/>
                <w:sz w:val="20"/>
                <w:szCs w:val="20"/>
                <w:color w:val="0000EE"/>
              </w:rPr>
            </w:pPr>
            <w:hyperlink r:id="rId27">
              <w:r>
                <w:rPr>
                  <w:rFonts w:ascii="Arial" w:cs="Arial" w:eastAsia="Arial" w:hAnsi="Arial"/>
                  <w:sz w:val="20"/>
                  <w:szCs w:val="20"/>
                  <w:color w:val="0000EE"/>
                </w:rPr>
                <w:t>Atairos Partners GP, Inc.</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C/O ATAIROS MANAGEMENT, L.P.</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6"/>
              </w:rPr>
              <w:t>40 MORRIS ROAD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BRYN MAWR</w:t>
            </w:r>
          </w:p>
        </w:tc>
        <w:tc>
          <w:tcPr>
            <w:tcW w:w="1300" w:type="dxa"/>
            <w:vAlign w:val="bottom"/>
            <w:gridSpan w:val="6"/>
          </w:tcPr>
          <w:p>
            <w:pPr>
              <w:ind w:left="40"/>
              <w:spacing w:after="0"/>
              <w:rPr>
                <w:sz w:val="20"/>
                <w:szCs w:val="20"/>
                <w:color w:val="auto"/>
              </w:rPr>
            </w:pPr>
            <w:r>
              <w:rPr>
                <w:rFonts w:ascii="Arial" w:cs="Arial" w:eastAsia="Arial" w:hAnsi="Arial"/>
                <w:sz w:val="16"/>
                <w:szCs w:val="16"/>
                <w:color w:val="0000FF"/>
              </w:rPr>
              <w:t>PA</w:t>
            </w:r>
          </w:p>
        </w:tc>
        <w:tc>
          <w:tcPr>
            <w:tcW w:w="1520" w:type="dxa"/>
            <w:vAlign w:val="bottom"/>
          </w:tcPr>
          <w:p>
            <w:pPr>
              <w:ind w:left="140"/>
              <w:spacing w:after="0"/>
              <w:rPr>
                <w:sz w:val="20"/>
                <w:szCs w:val="20"/>
                <w:color w:val="auto"/>
              </w:rPr>
            </w:pPr>
            <w:r>
              <w:rPr>
                <w:rFonts w:ascii="Arial" w:cs="Arial" w:eastAsia="Arial" w:hAnsi="Arial"/>
                <w:sz w:val="16"/>
                <w:szCs w:val="16"/>
                <w:color w:val="0000FF"/>
              </w:rPr>
              <w:t>19010</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660" w:type="dxa"/>
            <w:vAlign w:val="bottom"/>
            <w:gridSpan w:val="8"/>
          </w:tcPr>
          <w:p>
            <w:pPr>
              <w:ind w:left="20"/>
              <w:spacing w:after="0" w:line="205" w:lineRule="exact"/>
              <w:rPr>
                <w:rFonts w:ascii="Arial" w:cs="Arial" w:eastAsia="Arial" w:hAnsi="Arial"/>
                <w:sz w:val="20"/>
                <w:szCs w:val="20"/>
                <w:color w:val="0000EE"/>
              </w:rPr>
            </w:pPr>
            <w:hyperlink r:id="rId28">
              <w:r>
                <w:rPr>
                  <w:rFonts w:ascii="Arial" w:cs="Arial" w:eastAsia="Arial" w:hAnsi="Arial"/>
                  <w:sz w:val="20"/>
                  <w:szCs w:val="20"/>
                  <w:color w:val="0000EE"/>
                </w:rPr>
                <w:t>Angelakis Michael J</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00" w:type="dxa"/>
            <w:vAlign w:val="bottom"/>
            <w:gridSpan w:val="6"/>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-7496175</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-7496175</wp:posOffset>
            </wp:positionV>
            <wp:extent cx="330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-6843395</wp:posOffset>
            </wp:positionV>
            <wp:extent cx="3302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-6843395</wp:posOffset>
            </wp:positionV>
            <wp:extent cx="330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-6238240</wp:posOffset>
            </wp:positionV>
            <wp:extent cx="3302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-6238240</wp:posOffset>
            </wp:positionV>
            <wp:extent cx="3302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-5836920</wp:posOffset>
            </wp:positionV>
            <wp:extent cx="330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-5836920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-5184775</wp:posOffset>
            </wp:positionV>
            <wp:extent cx="330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-5184775</wp:posOffset>
            </wp:positionV>
            <wp:extent cx="3302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-4578985</wp:posOffset>
            </wp:positionV>
            <wp:extent cx="3302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-4578985</wp:posOffset>
            </wp:positionV>
            <wp:extent cx="3302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-4178300</wp:posOffset>
            </wp:positionV>
            <wp:extent cx="3302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-4178300</wp:posOffset>
            </wp:positionV>
            <wp:extent cx="330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-3525520</wp:posOffset>
            </wp:positionV>
            <wp:extent cx="3302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-3525520</wp:posOffset>
            </wp:positionV>
            <wp:extent cx="3302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-2920365</wp:posOffset>
            </wp:positionV>
            <wp:extent cx="3302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-2920365</wp:posOffset>
            </wp:positionV>
            <wp:extent cx="3302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-2519045</wp:posOffset>
            </wp:positionV>
            <wp:extent cx="3302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-2519045</wp:posOffset>
            </wp:positionV>
            <wp:extent cx="3302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-1866900</wp:posOffset>
            </wp:positionV>
            <wp:extent cx="3302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-1866900</wp:posOffset>
            </wp:positionV>
            <wp:extent cx="3302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-1261110</wp:posOffset>
            </wp:positionV>
            <wp:extent cx="330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-1261110</wp:posOffset>
            </wp:positionV>
            <wp:extent cx="3302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-860425</wp:posOffset>
            </wp:positionV>
            <wp:extent cx="3302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-860425</wp:posOffset>
            </wp:positionV>
            <wp:extent cx="3302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-207645</wp:posOffset>
            </wp:positionV>
            <wp:extent cx="3302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-207645</wp:posOffset>
            </wp:positionV>
            <wp:extent cx="3302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ATAIROS MANAGEMENT,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88265</wp:posOffset>
            </wp:positionV>
            <wp:extent cx="26828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682875" cy="41275"/>
                    </a:xfrm>
                    <a:prstGeom prst="rect">
                      <a:avLst/>
                    </a:prstGeom>
                    <a:noFill/>
                  </pic:spPr>
                </pic:pic>
              </a:graphicData>
            </a:graphic>
          </wp:anchor>
        </w:drawing>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9979"/>
          </w:cols>
          <w:pgMar w:left="480" w:top="250" w:right="1440" w:bottom="0" w:gutter="0" w:footer="0" w:header="0"/>
        </w:sectPr>
      </w:pPr>
    </w:p>
    <w:p>
      <w:pPr>
        <w:spacing w:after="0" w:line="27" w:lineRule="exact"/>
        <w:rPr>
          <w:sz w:val="20"/>
          <w:szCs w:val="20"/>
          <w:color w:val="auto"/>
        </w:rPr>
      </w:pPr>
    </w:p>
    <w:p>
      <w:pPr>
        <w:ind w:left="100"/>
        <w:spacing w:after="0"/>
        <w:tabs>
          <w:tab w:leader="none" w:pos="1460" w:val="left"/>
          <w:tab w:leader="none" w:pos="2860" w:val="left"/>
        </w:tabs>
        <w:rPr>
          <w:sz w:val="20"/>
          <w:szCs w:val="20"/>
          <w:color w:val="auto"/>
        </w:rPr>
      </w:pPr>
      <w:r>
        <w:rPr>
          <w:rFonts w:ascii="Arial" w:cs="Arial" w:eastAsia="Arial" w:hAnsi="Arial"/>
          <w:sz w:val="16"/>
          <w:szCs w:val="16"/>
          <w:color w:val="0000FF"/>
        </w:rPr>
        <w:t>BRYN MAWR</w:t>
      </w:r>
      <w:r>
        <w:rPr>
          <w:sz w:val="20"/>
          <w:szCs w:val="20"/>
          <w:color w:val="auto"/>
        </w:rPr>
        <w:tab/>
      </w:r>
      <w:r>
        <w:rPr>
          <w:rFonts w:ascii="Arial" w:cs="Arial" w:eastAsia="Arial" w:hAnsi="Arial"/>
          <w:sz w:val="16"/>
          <w:szCs w:val="16"/>
          <w:color w:val="0000FF"/>
        </w:rPr>
        <w:t>PA</w:t>
      </w:r>
      <w:r>
        <w:rPr>
          <w:sz w:val="20"/>
          <w:szCs w:val="20"/>
          <w:color w:val="auto"/>
        </w:rPr>
        <w:tab/>
      </w:r>
      <w:r>
        <w:rPr>
          <w:rFonts w:ascii="Arial" w:cs="Arial" w:eastAsia="Arial" w:hAnsi="Arial"/>
          <w:sz w:val="15"/>
          <w:szCs w:val="15"/>
          <w:color w:val="0000FF"/>
        </w:rPr>
        <w:t>19010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88265</wp:posOffset>
            </wp:positionV>
            <wp:extent cx="26828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682875" cy="41275"/>
                    </a:xfrm>
                    <a:prstGeom prst="rect">
                      <a:avLst/>
                    </a:prstGeom>
                    <a:noFill/>
                  </pic:spPr>
                </pic:pic>
              </a:graphicData>
            </a:graphic>
          </wp:anchor>
        </w:drawing>
      </w:r>
    </w:p>
    <w:p>
      <w:pPr>
        <w:sectPr>
          <w:pgSz w:w="11900" w:h="16838" w:orient="portrait"/>
          <w:cols w:equalWidth="0" w:num="1">
            <w:col w:w="9979"/>
          </w:cols>
          <w:pgMar w:left="480" w:top="250" w:right="1440" w:bottom="0" w:gutter="0" w:footer="0" w:header="0"/>
          <w:type w:val="continuous"/>
        </w:sectPr>
      </w:pPr>
    </w:p>
    <w:bookmarkStart w:id="2" w:name="page3"/>
    <w:bookmarkEnd w:id="2"/>
    <w:p>
      <w:pPr>
        <w:spacing w:after="0"/>
        <w:tabs>
          <w:tab w:leader="none" w:pos="1500" w:val="left"/>
          <w:tab w:leader="none" w:pos="290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2795905" cy="17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795905" cy="170180"/>
                    </a:xfrm>
                    <a:prstGeom prst="rect">
                      <a:avLst/>
                    </a:prstGeom>
                    <a:noFill/>
                  </pic:spPr>
                </pic:pic>
              </a:graphicData>
            </a:graphic>
          </wp:anchor>
        </w:drawing>
        <w:drawing>
          <wp:inline distT="0" distB="0" distL="0" distR="0">
            <wp:extent cx="41275" cy="17018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1275" cy="170180"/>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60" w:right="100" w:hanging="4"/>
        <w:spacing w:after="0" w:line="252" w:lineRule="auto"/>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an exchange of $150 million aggregate principal amount of the Issuer's 3.50% Convertible Senior Notes due October 1, 2024 (the "2024 Notes") held by the Reporting Persons for (i) a cash payment of $200 million plus accrued and unpaid interest on the reported securities through, and including, August 26, 2021 and (ii) 310,394 shares of common stock of the Issuer, par value $0.001 per share ("Common Stock"), which share amount was calculated using a 20-day volume weighted average price ending on, and including, August 26, 2021.</w:t>
      </w:r>
    </w:p>
    <w:p>
      <w:pPr>
        <w:spacing w:after="0" w:line="23" w:lineRule="exact"/>
        <w:rPr>
          <w:rFonts w:ascii="Arial" w:cs="Arial" w:eastAsia="Arial" w:hAnsi="Arial"/>
          <w:sz w:val="12"/>
          <w:szCs w:val="12"/>
          <w:color w:val="008000"/>
        </w:rPr>
      </w:pPr>
    </w:p>
    <w:p>
      <w:pPr>
        <w:ind w:left="60" w:hanging="4"/>
        <w:spacing w:after="0" w:line="247" w:lineRule="auto"/>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Under the terms of the 2024 Notes, upon conversion of the 2024 Notes, the Issuer was required to deliver, at the Issuer's election, cash, shares of Common Stock, or a combination of cash and shares of Common Stock. The 2024 Notes had an initial conversion rate of 13.3333 shares of Common Stock per $1,000 principal amount of the 2024 Notes, which was the equivalent of an initial conversion price of approximately $75 per share of Common Stock. The initial conversion rate was subject to adjustment from time to time in accordance with the terms of an indenture, dated as of October 4, 2018, by and between the Issuer and Citibank, N.A., as trustee.</w:t>
      </w:r>
    </w:p>
    <w:p>
      <w:pPr>
        <w:spacing w:after="0" w:line="26" w:lineRule="exact"/>
        <w:rPr>
          <w:rFonts w:ascii="Arial" w:cs="Arial" w:eastAsia="Arial" w:hAnsi="Arial"/>
          <w:sz w:val="12"/>
          <w:szCs w:val="12"/>
          <w:color w:val="008000"/>
        </w:rPr>
      </w:pPr>
    </w:p>
    <w:p>
      <w:pPr>
        <w:jc w:val="both"/>
        <w:ind w:left="60" w:right="240" w:hanging="4"/>
        <w:spacing w:after="0" w:line="277" w:lineRule="auto"/>
        <w:tabs>
          <w:tab w:leader="none" w:pos="18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Orogen Echo LLC ("OE") directly owns the reported securities. The Orogen Group LLC ("Orogen") is the sole member of OE and Vikram S. Pandit ("Mr. Pandit") is the Chairman and Chief Executive Officer of Orogen and serves on the board of directors of ExlService Holdings, Inc. (the "Issuer"). Orogen Holdings LLC and Atairos-Orogen Holdings, LLC are the sole members with joint investment control of Orogen.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10" w:lineRule="exact"/>
        <w:rPr>
          <w:rFonts w:ascii="Arial" w:cs="Arial" w:eastAsia="Arial" w:hAnsi="Arial"/>
          <w:sz w:val="11"/>
          <w:szCs w:val="11"/>
          <w:color w:val="008000"/>
        </w:rPr>
      </w:pPr>
    </w:p>
    <w:p>
      <w:pPr>
        <w:ind w:left="60" w:right="100" w:hanging="4"/>
        <w:spacing w:after="0" w:line="305" w:lineRule="auto"/>
        <w:tabs>
          <w:tab w:leader="none" w:pos="18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of the Reporting Persons, other than Mr. Pandit, is acting as a director by deputization of the Issuer with respect to Mr. Pandit's membership on the board of directors of the Issuer. Each of the Reporting Persons may be deemed to have direct or indirect beneficial ownership of the reported securities, as applicable, but disclaims such beneficial ownership except to the extent of its pecuniary interest therein.</w:t>
      </w:r>
    </w:p>
    <w:p>
      <w:pPr>
        <w:ind w:left="60" w:right="120" w:hanging="4"/>
        <w:spacing w:after="0" w:line="268" w:lineRule="auto"/>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were convertible at any time prior to the close of business on the scheduled trading day immediately preceding October 1, 2024, subject to earlier conversion or redemption in accordance with their terms.</w:t>
      </w:r>
    </w:p>
    <w:p>
      <w:pPr>
        <w:sectPr>
          <w:pgSz w:w="11900" w:h="16838" w:orient="portrait"/>
          <w:cols w:equalWidth="0" w:num="1">
            <w:col w:w="10940"/>
          </w:cols>
          <w:pgMar w:left="440" w:top="114" w:right="519" w:bottom="1440" w:gutter="0" w:footer="0" w:header="0"/>
        </w:sectPr>
      </w:pPr>
    </w:p>
    <w:p>
      <w:pPr>
        <w:spacing w:after="0" w:line="39"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-1270</wp:posOffset>
            </wp:positionV>
            <wp:extent cx="123761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37615" cy="7620"/>
                    </a:xfrm>
                    <a:prstGeom prst="rect">
                      <a:avLst/>
                    </a:prstGeom>
                    <a:noFill/>
                  </pic:spPr>
                </pic:pic>
              </a:graphicData>
            </a:graphic>
          </wp:anchor>
        </w:drawing>
      </w:r>
    </w:p>
    <w:p>
      <w:pPr>
        <w:spacing w:after="0" w:line="13"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14935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49350" cy="76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5"/>
          <w:szCs w:val="15"/>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-5715</wp:posOffset>
            </wp:positionV>
            <wp:extent cx="12357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35710" cy="762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-5715</wp:posOffset>
            </wp:positionV>
            <wp:extent cx="12630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14173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41730"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By: The Orogen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-1270</wp:posOffset>
            </wp:positionV>
            <wp:extent cx="13227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13" w:lineRule="exact"/>
        <w:rPr>
          <w:sz w:val="20"/>
          <w:szCs w:val="20"/>
          <w:color w:val="auto"/>
        </w:rPr>
      </w:pPr>
    </w:p>
    <w:p>
      <w:pPr>
        <w:ind w:left="6620"/>
        <w:spacing w:after="0"/>
        <w:rPr>
          <w:sz w:val="20"/>
          <w:szCs w:val="20"/>
          <w:color w:val="auto"/>
        </w:rPr>
      </w:pPr>
      <w:r>
        <w:rPr>
          <w:rFonts w:ascii="Arial" w:cs="Arial" w:eastAsia="Arial" w:hAnsi="Arial"/>
          <w:sz w:val="14"/>
          <w:szCs w:val="14"/>
          <w:color w:val="0000FF"/>
        </w:rPr>
        <w:t>Vikram S. Pandit, Chairman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635</wp:posOffset>
            </wp:positionV>
            <wp:extent cx="13277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10172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01725" cy="76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6"/>
          <w:szCs w:val="16"/>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7004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2515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-5715</wp:posOffset>
            </wp:positionV>
            <wp:extent cx="12369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36980" cy="762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7004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700" w:space="120"/>
            <w:col w:w="2120"/>
          </w:cols>
          <w:pgMar w:left="440" w:top="114" w:right="519" w:bottom="1440" w:gutter="0" w:footer="0" w:header="0"/>
          <w:type w:val="continuous"/>
        </w:sectPr>
      </w:pPr>
    </w:p>
    <w:p>
      <w:pPr>
        <w:ind w:left="6620"/>
        <w:spacing w:after="0"/>
        <w:rPr>
          <w:sz w:val="20"/>
          <w:szCs w:val="20"/>
          <w:color w:val="auto"/>
        </w:rPr>
      </w:pPr>
      <w:r>
        <w:rPr>
          <w:rFonts w:ascii="Arial" w:cs="Arial" w:eastAsia="Arial" w:hAnsi="Arial"/>
          <w:sz w:val="15"/>
          <w:szCs w:val="15"/>
          <w:color w:val="0000FF"/>
        </w:rPr>
        <w:t>By: Vikram S. Pandit /s/Vikram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-1270</wp:posOffset>
            </wp:positionV>
            <wp:extent cx="13023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13"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3689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68935"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2401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28841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2065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06500"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1214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21410" cy="762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David L. Caplan,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-5715</wp:posOffset>
            </wp:positionV>
            <wp:extent cx="13220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4"/>
          <w:szCs w:val="14"/>
          <w:color w:val="0000FF"/>
        </w:rPr>
        <w:t>and General Counsel /s/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635</wp:posOffset>
            </wp:positionV>
            <wp:extent cx="13677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2895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89560"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19824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1607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60780" cy="76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6"/>
          <w:szCs w:val="16"/>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115379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153795" cy="76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5"/>
          <w:szCs w:val="15"/>
          <w:color w:val="0000FF"/>
        </w:rPr>
        <w:t>Caplan, Vice President /s/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-5715</wp:posOffset>
            </wp:positionV>
            <wp:extent cx="13309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30960" cy="762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40322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03225"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By: Atairos Partners GP,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-1270</wp:posOffset>
            </wp:positionV>
            <wp:extent cx="133985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13"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David L. Caplan,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-5715</wp:posOffset>
            </wp:positionV>
            <wp:extent cx="13220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80073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800735" cy="7620"/>
                    </a:xfrm>
                    <a:prstGeom prst="rect">
                      <a:avLst/>
                    </a:prstGeom>
                    <a:noFill/>
                  </pic:spPr>
                </pic:pic>
              </a:graphicData>
            </a:graphic>
          </wp:anchor>
        </w:drawing>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By: Michael J. Angelakis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1607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60780" cy="762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6"/>
          <w:szCs w:val="16"/>
          <w:color w:val="0000FF"/>
        </w:rPr>
        <w:t>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-13335</wp:posOffset>
            </wp:positionV>
            <wp:extent cx="86550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8655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8780" w:space="40"/>
            <w:col w:w="2120"/>
          </w:cols>
          <w:pgMar w:left="440" w:top="114" w:right="519" w:bottom="1440" w:gutter="0" w:footer="0" w:header="0"/>
          <w:type w:val="continuous"/>
        </w:sectPr>
      </w:pPr>
    </w:p>
    <w:p>
      <w:pPr>
        <w:ind w:left="6620"/>
        <w:spacing w:after="0"/>
        <w:tabs>
          <w:tab w:leader="none" w:pos="880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60" w:right="3740" w:hanging="4"/>
        <w:spacing w:after="0" w:line="321" w:lineRule="auto"/>
        <w:tabs>
          <w:tab w:leader="none" w:pos="19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40" w:top="11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2" Type="http://schemas.openxmlformats.org/officeDocument/2006/relationships/hyperlink" Target="http://www.sec.gov/cgi-bin/browse-edgar?action=getcompany&amp;CIK=0001754751"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05509" TargetMode="External"/><Relationship Id="rId15" Type="http://schemas.openxmlformats.org/officeDocument/2006/relationships/hyperlink" Target="http://www.sec.gov/cgi-bin/browse-edgar?action=getcompany&amp;CIK=0001705500" TargetMode="External"/><Relationship Id="rId17" Type="http://schemas.openxmlformats.org/officeDocument/2006/relationships/hyperlink" Target="http://www.sec.gov/cgi-bin/browse-edgar?action=getcompany&amp;CIK=0001183417" TargetMode="External"/><Relationship Id="rId24" Type="http://schemas.openxmlformats.org/officeDocument/2006/relationships/hyperlink" Target="http://www.sec.gov/cgi-bin/browse-edgar?action=getcompany&amp;CIK=0001705610" TargetMode="External"/><Relationship Id="rId25" Type="http://schemas.openxmlformats.org/officeDocument/2006/relationships/hyperlink" Target="http://www.sec.gov/cgi-bin/browse-edgar?action=getcompany&amp;CIK=0001671122" TargetMode="External"/><Relationship Id="rId26" Type="http://schemas.openxmlformats.org/officeDocument/2006/relationships/hyperlink" Target="http://www.sec.gov/cgi-bin/browse-edgar?action=getcompany&amp;CIK=0001671185" TargetMode="External"/><Relationship Id="rId27" Type="http://schemas.openxmlformats.org/officeDocument/2006/relationships/hyperlink" Target="http://www.sec.gov/cgi-bin/browse-edgar?action=getcompany&amp;CIK=0001671176" TargetMode="External"/><Relationship Id="rId28"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2021-10-05T18:25:44Z</dcterms:created>
  <dcterms:modified xsi:type="dcterms:W3CDTF">2021-10-05T18:25:44Z</dcterms:modified>
</cp:coreProperties>
</file>