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613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1352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81"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Bhalla Vikas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320 PARK AVENUE</w:t>
            </w:r>
          </w:p>
        </w:tc>
        <w:tc>
          <w:tcPr>
            <w:tcW w:w="16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20" w:type="dxa"/>
            <w:vAlign w:val="bottom"/>
            <w:tcBorders>
              <w:top w:val="single" w:sz="8" w:color="0000EE"/>
            </w:tcBorders>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02/15/2024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EVP &amp; Head of Outsourcing</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8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4,400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137,283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02/15/2024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1,716</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30.34</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135,567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02/16/2024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5,435</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141,002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02/16/2024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2,120</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30.97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138,882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4,400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02/15/2024</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4,400</w:t>
            </w: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02/15/2033</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13,200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5,435</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02/16/2024</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5,435</w:t>
            </w: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02/16/2032</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10,870</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jc w:val="both"/>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15, 2023, the reporting person was granted 3,520 (pre-split) restricted stock units, vesting in four equal annual installments beginning on the first anniversary of the grant date. 25 percent of the restricted stock units became vested on February 15, 2024, an additional 25 percent of the restricted stock units will vest on February 15, 2025, an additional 25 percent of the restricted stock units will vest on February 15, 2026, and the remaining balance of 25 of the restricted stock units will vest on February 15, 2027.</w:t>
      </w:r>
    </w:p>
    <w:p>
      <w:pPr>
        <w:spacing w:after="0" w:line="26"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16, 2022, the reporting person was granted 4,348 (pre-split) restricted stock units, vesting in four equal annual installments beginning on the first anniversary of the grant date. 25 percent of the restricted stock units became vested on February 16, 2023, an additional 25 percent of the restricted stock units became vested on February 16, 2024, an additional 25 percent of the restricted stock units will vest on February 16, 2025, and the remaining balance of 25 of the restricted stock units will vest on February 16, 2026.</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8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2024-02-20T17:12:25Z</dcterms:created>
  <dcterms:modified xsi:type="dcterms:W3CDTF">2024-02-20T17:12:25Z</dcterms:modified>
</cp:coreProperties>
</file>