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01/19/2018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32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8"/>
                <w:szCs w:val="18"/>
                <w:color w:val="0000FF"/>
              </w:rPr>
              <w:t>01/19/2018</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4"/>
              </w:rPr>
              <w:t>3,000</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9.59</w:t>
            </w:r>
          </w:p>
        </w:tc>
        <w:tc>
          <w:tcPr>
            <w:tcW w:w="1340" w:type="dxa"/>
            <w:vAlign w:val="bottom"/>
            <w:tcBorders>
              <w:bottom w:val="single" w:sz="8" w:color="2C2C2C"/>
            </w:tcBorders>
            <w:gridSpan w:val="3"/>
          </w:tcPr>
          <w:p>
            <w:pPr>
              <w:jc w:val="right"/>
              <w:ind w:right="376"/>
              <w:spacing w:after="0"/>
              <w:rPr>
                <w:sz w:val="20"/>
                <w:szCs w:val="20"/>
                <w:color w:val="auto"/>
              </w:rPr>
            </w:pPr>
            <w:r>
              <w:rPr>
                <w:rFonts w:ascii="Arial" w:cs="Arial" w:eastAsia="Arial" w:hAnsi="Arial"/>
                <w:sz w:val="18"/>
                <w:szCs w:val="18"/>
                <w:color w:val="0000FF"/>
              </w:rPr>
              <w:t>3,000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32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8"/>
                <w:szCs w:val="18"/>
                <w:color w:val="0000FF"/>
              </w:rPr>
              <w:t>01/19/2018</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4"/>
              </w:rPr>
              <w:t>3,000</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63.9</w:t>
            </w: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36"/>
              <w:spacing w:after="0"/>
              <w:rPr>
                <w:sz w:val="20"/>
                <w:szCs w:val="20"/>
                <w:color w:val="auto"/>
              </w:rPr>
            </w:pPr>
            <w:r>
              <w:rPr>
                <w:rFonts w:ascii="Arial" w:cs="Arial" w:eastAsia="Arial" w:hAnsi="Arial"/>
                <w:sz w:val="18"/>
                <w:szCs w:val="18"/>
                <w:color w:val="0000FF"/>
                <w:w w:val="99"/>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jc w:val="center"/>
              <w:ind w:left="9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00" w:type="dxa"/>
            <w:vAlign w:val="bottom"/>
            <w:gridSpan w:val="10"/>
          </w:tcPr>
          <w:p>
            <w:pPr>
              <w:jc w:val="center"/>
              <w:ind w:right="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(2)</w:t>
            </w:r>
          </w:p>
        </w:tc>
        <w:tc>
          <w:tcPr>
            <w:tcW w:w="9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50"/>
              <w:spacing w:after="0"/>
              <w:rPr>
                <w:sz w:val="20"/>
                <w:szCs w:val="20"/>
                <w:color w:val="auto"/>
              </w:rPr>
            </w:pPr>
            <w:r>
              <w:rPr>
                <w:rFonts w:ascii="Arial" w:cs="Arial" w:eastAsia="Arial" w:hAnsi="Arial"/>
                <w:sz w:val="18"/>
                <w:szCs w:val="18"/>
                <w:color w:val="0000FF"/>
                <w:w w:val="93"/>
              </w:rPr>
              <w:t>3,000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9.59</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01/19/2018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40" w:type="dxa"/>
            <w:vAlign w:val="bottom"/>
          </w:tcPr>
          <w:p>
            <w:pPr>
              <w:ind w:left="500"/>
              <w:spacing w:after="0" w:line="149" w:lineRule="exact"/>
              <w:rPr>
                <w:sz w:val="20"/>
                <w:szCs w:val="20"/>
                <w:color w:val="auto"/>
              </w:rPr>
            </w:pPr>
            <w:r>
              <w:rPr>
                <w:rFonts w:ascii="Arial" w:cs="Arial" w:eastAsia="Arial" w:hAnsi="Arial"/>
                <w:sz w:val="14"/>
                <w:szCs w:val="14"/>
                <w:color w:val="0000FF"/>
              </w:rPr>
              <w:t>3,000</w:t>
            </w:r>
          </w:p>
        </w:tc>
        <w:tc>
          <w:tcPr>
            <w:tcW w:w="780" w:type="dxa"/>
            <w:vAlign w:val="bottom"/>
            <w:gridSpan w:val="2"/>
            <w:vMerge w:val="continue"/>
          </w:tcPr>
          <w:p>
            <w:pPr>
              <w:spacing w:after="0"/>
              <w:rPr>
                <w:sz w:val="12"/>
                <w:szCs w:val="12"/>
                <w:color w:val="auto"/>
              </w:rPr>
            </w:pP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06/01/2019</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340"/>
              <w:spacing w:after="0" w:line="149" w:lineRule="exact"/>
              <w:rPr>
                <w:sz w:val="20"/>
                <w:szCs w:val="20"/>
                <w:color w:val="auto"/>
              </w:rPr>
            </w:pPr>
            <w:r>
              <w:rPr>
                <w:rFonts w:ascii="Arial" w:cs="Arial" w:eastAsia="Arial" w:hAnsi="Arial"/>
                <w:sz w:val="14"/>
                <w:szCs w:val="14"/>
                <w:color w:val="0000FF"/>
                <w:w w:val="83"/>
              </w:rPr>
              <w:t>39,000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jc w:val="right"/>
              <w:ind w:right="134"/>
              <w:spacing w:after="0" w:line="149" w:lineRule="exact"/>
              <w:rPr>
                <w:sz w:val="20"/>
                <w:szCs w:val="20"/>
                <w:color w:val="auto"/>
              </w:rPr>
            </w:pPr>
            <w:r>
              <w:rPr>
                <w:rFonts w:ascii="Arial" w:cs="Arial" w:eastAsia="Arial" w:hAnsi="Arial"/>
                <w:sz w:val="14"/>
                <w:szCs w:val="14"/>
                <w:color w:val="0000FF"/>
                <w:w w:val="97"/>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19, 2018, the reporting person exercised previously issued options to purchase an aggregate of 3,000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2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 2009, the reporting person was granted 100,000 stock options. 10 percent of these options became vested and exercisable on June 1, 2010, an additional 20 percent became vested and exercisable on June 1, 2011, an additional 30 percent became vested and exercisable on June 1, 2012, and the balance of 40 percent became vested and exercisable on June 1, 2013.</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01/23/2018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2019-12-04T01:48:24Z</dcterms:created>
  <dcterms:modified xsi:type="dcterms:W3CDTF">2019-12-04T01:48:24Z</dcterms:modified>
</cp:coreProperties>
</file>