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3880" w:space="720"/>
            <w:col w:w="3540" w:space="720"/>
            <w:col w:w="2560"/>
          </w:cols>
          <w:pgMar w:left="240" w:top="422"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320 Park Avenue, 29th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580" w:right="100" w:hanging="572"/>
        <w:spacing w:after="0" w:line="277" w:lineRule="auto"/>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EXLS</w:t>
            </w: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669"/>
        </w:trPr>
        <w:tc>
          <w:tcPr>
            <w:tcW w:w="38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22" w:right="2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22, 2019, Nagaraja Srivatsan, the Company’s Executive Vice President and Chief Growth Officer, provided notice to the Company, pursuant to the terms of his employment agreement, that he was resigning to pursue other opportunities. Mr. Srivatsan’s resignation will be effective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August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Ajay Ayyappan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Ajay Ayyappan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7"/>
          <w:szCs w:val="17"/>
          <w:color w:val="auto"/>
        </w:rPr>
        <w:t>Title:</w:t>
        <w:tab/>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2019-11-29T19:56:58Z</dcterms:created>
  <dcterms:modified xsi:type="dcterms:W3CDTF">2019-11-29T19:56:58Z</dcterms:modified>
</cp:coreProperties>
</file>