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6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Date of Report (Date of earliest event reported): February 25, 2021</w:t>
      </w:r>
    </w:p>
    <w:p>
      <w:pPr>
        <w:spacing w:after="0" w:line="5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249"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249"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249" w:right="339" w:bottom="1440" w:gutter="0" w:footer="0" w:header="0"/>
          <w:type w:val="continuous"/>
        </w:sectPr>
      </w:pPr>
    </w:p>
    <w:p>
      <w:pPr>
        <w:spacing w:after="0" w:line="2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249"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249"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249"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7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r>
        <w:trPr>
          <w:trHeight w:val="442"/>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February 25, 2021, ExlService Holdings, Inc. (the “Company”) reported its results of operations for the three months and twelve months ended December 31, 2020.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40" w:type="dxa"/>
            <w:vAlign w:val="bottom"/>
          </w:tcPr>
          <w:p>
            <w:pPr>
              <w:spacing w:after="0"/>
              <w:rPr>
                <w:sz w:val="21"/>
                <w:szCs w:val="21"/>
                <w:color w:val="auto"/>
              </w:rPr>
            </w:pPr>
          </w:p>
        </w:tc>
        <w:tc>
          <w:tcPr>
            <w:tcW w:w="9200" w:type="dxa"/>
            <w:vAlign w:val="bottom"/>
            <w:gridSpan w:val="3"/>
          </w:tcPr>
          <w:p>
            <w:pPr>
              <w:ind w:left="100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Release, dated February 25, 2021 (furnished pursuant to Item 2.02)</w:t>
              </w:r>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180"/>
        </w:trPr>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15"/>
                <w:szCs w:val="15"/>
                <w:color w:val="auto"/>
              </w:rPr>
            </w:pPr>
          </w:p>
        </w:tc>
        <w:tc>
          <w:tcPr>
            <w:tcW w:w="9200" w:type="dxa"/>
            <w:vAlign w:val="bottom"/>
            <w:gridSpan w:val="3"/>
          </w:tcPr>
          <w:p>
            <w:pPr>
              <w:ind w:left="100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w:t>
            </w:r>
          </w:p>
        </w:tc>
        <w:tc>
          <w:tcPr>
            <w:tcW w:w="0" w:type="dxa"/>
            <w:vAlign w:val="bottom"/>
          </w:tcPr>
          <w:p>
            <w:pPr>
              <w:spacing w:after="0"/>
              <w:rPr>
                <w:sz w:val="1"/>
                <w:szCs w:val="1"/>
                <w:color w:val="auto"/>
              </w:rPr>
            </w:pPr>
          </w:p>
        </w:tc>
      </w:tr>
      <w:tr>
        <w:trPr>
          <w:trHeight w:val="234"/>
        </w:trPr>
        <w:tc>
          <w:tcPr>
            <w:tcW w:w="90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p>
        </w:tc>
        <w:tc>
          <w:tcPr>
            <w:tcW w:w="92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461"/>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6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7"/>
        </w:trPr>
        <w:tc>
          <w:tcPr>
            <w:tcW w:w="3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EXL REPORTS 2020 FOURTH QUARTER AND FULL YEAR RESULTS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2020 Fourth Quarter Revenues of $249.0 Million, down 3.1% year-over-year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Q4 Diluted EPS (GAAP) of $0.94, up from $0.62 in Q4 of 2019</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Q4 Adjusted Diluted EPS (Non-GAAP)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$1.14, up from $0.79 in Q4 of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2020 Revenues of $958.4 Million, down 3.3% year-over-year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2020 Diluted EPS (GAAP) of $2.59, up from $1.95 in 2019</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2020 Adjusted Diluted EPS (Non-GAAP)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$3.53, up from $3.09 in 2019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New York, NY – February 25, 2021 - ExlService Holdings, Inc. (NASDAQ: EXLS), a leading operations management and analytics company, today announced its financial results for the quarter and full year ended December 31, 2020.</w:t>
      </w:r>
    </w:p>
    <w:p>
      <w:pPr>
        <w:spacing w:after="0" w:line="18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Rohit Kapoor, Vice Chairman and Chief Executive Officer, said, “EXL had a strong fourth quarter with revenue of $249.0 million and full year revenue of $958.4 million. Our adjusted diluted EPS for the year was a record $3.53, a 14% increase. 2020 was a transformative year for EXL. We proved the resiliency of our business model by effectively navigating pandemic related challenges. We focused on employee safety, strengthened our client relationships and expanded our profit margins. Our strengths in operations management, digital transformation and analytics are resonating with clients as they pursue their strategic goals in the new market environment. We see opportunities to grow revenue and profitability with a robust pipeline as we look ahead to 2021.”</w:t>
      </w:r>
    </w:p>
    <w:p>
      <w:pPr>
        <w:spacing w:after="0" w:line="200" w:lineRule="exact"/>
        <w:rPr>
          <w:sz w:val="20"/>
          <w:szCs w:val="20"/>
          <w:color w:val="auto"/>
        </w:rPr>
      </w:pPr>
    </w:p>
    <w:p>
      <w:pPr>
        <w:spacing w:after="0" w:line="25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Maurizio Nicolelli, Chief Financial Officer, said, “We ended 2020 with good momentum in our business and a very healthy balance sheet. In 2020, we generated $203.0 million in cash flow from operations and ended the year with $403.0 million in cash and short-term investments. Total borrowings were $239.0 million with a net cash position of $164.0 million. Our 2021 guidance follows the medium term targets we communicated at our investor day in November 2020. We expect 2021 revenue to be in the range of $1.04 billion to $1.06 billion, representing a 9% to 11% increase year-over-year. We expect adjusted diluted EPS to be in the range of $3.90 to $4.05, representing a 10% to 15% increase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3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GAAP measures are included at the end of this release.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Fourth Quarter 2020</w:t>
      </w:r>
    </w:p>
    <w:p>
      <w:pPr>
        <w:spacing w:after="0" w:line="214"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i w:val="1"/>
          <w:iCs w:val="1"/>
          <w:color w:val="auto"/>
        </w:rPr>
        <w:t>Effective January 1, 2020, we made certain operational and structural changes to manage and report financial information through our four reportable segments: Insurance, Healthcare, Emerging Business and Analytics. Financial information for historical periods are recast to conform to the current presentation. For details regarding the change in segments, refer to our report on Form 10-K for the year ended December 31, 2020.</w:t>
      </w:r>
    </w:p>
    <w:p>
      <w:pPr>
        <w:spacing w:after="0" w:line="282" w:lineRule="exact"/>
        <w:rPr>
          <w:sz w:val="20"/>
          <w:szCs w:val="20"/>
          <w:color w:val="auto"/>
        </w:rPr>
      </w:pPr>
    </w:p>
    <w:p>
      <w:pPr>
        <w:jc w:val="both"/>
        <w:ind w:left="66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quarter ended December 31, 2020 decreased to $249.0 million compared to $256.9 million for the fourth quarter of 2019, a decrease of 3.1% on both reported basis and on a constant currency basis from the fourth quarter of 2019. Revenues increased by 3.3% sequentially on a reported basis and 3.1% on a constant currency basis, from the third quarter of 2020.</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jc w:val="center"/>
              <w:ind w:lef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4"/>
                <w:szCs w:val="14"/>
                <w:color w:val="auto"/>
              </w:rPr>
            </w:pPr>
          </w:p>
        </w:tc>
        <w:tc>
          <w:tcPr>
            <w:tcW w:w="960" w:type="dxa"/>
            <w:vAlign w:val="bottom"/>
          </w:tcPr>
          <w:p>
            <w:pPr>
              <w:jc w:val="right"/>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4"/>
                <w:szCs w:val="14"/>
                <w:color w:val="auto"/>
              </w:rPr>
            </w:pPr>
          </w:p>
        </w:tc>
        <w:tc>
          <w:tcPr>
            <w:tcW w:w="12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360" w:type="dxa"/>
            <w:vAlign w:val="bottom"/>
            <w:gridSpan w:val="4"/>
          </w:tcPr>
          <w:p>
            <w:pPr>
              <w:jc w:val="center"/>
              <w:ind w:right="120"/>
              <w:spacing w:after="0" w:line="17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31, 2019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30, 2020</w:t>
            </w:r>
          </w:p>
        </w:tc>
        <w:tc>
          <w:tcPr>
            <w:tcW w:w="1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12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39.4 %</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34.5 %</w:t>
            </w: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30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December 31, 2020 was 15.4%, compared to an operating income margin of 9.1% for the fourth quarter of 2019 and operating income margin of 14.3% for the third quarter of 2020. During the quarter ended December 31, 2019, we recorded impairment and restructuring charges of $1.4 million related to the wind down of the Health Integrated business, which reduced our operating income margin by 50 basis points. Adjusted operating income margin for the quarter ended December 31, 2020 was 19.7% compared to 13.3% for the fourth quarter of 2019 and 19.2% for the third quarter of 2020.</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December 31, 2020 was $0.94 compared to $0.62 for the fourth quarter of 2019 and $0.76 for the third quarter of 2020. During the quarter ended December 31, 2019, we recorded impairment and restructuring charges of $1.4 million related to the wind down of the Health Integrated business, which reduced our diluted earnings per share by $0.03. Adjusted diluted earnings per share for the quarter ended December 31, 2020 was $1.14 compared to $0.79 for the fourth quarter of 2019 and $1.04 for the third quarter of 2020.</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Financial Highlights: Full Year 2020</w:t>
      </w:r>
    </w:p>
    <w:p>
      <w:pPr>
        <w:spacing w:after="0" w:line="273" w:lineRule="exact"/>
        <w:rPr>
          <w:sz w:val="20"/>
          <w:szCs w:val="20"/>
          <w:color w:val="auto"/>
        </w:rPr>
      </w:pPr>
    </w:p>
    <w:p>
      <w:pPr>
        <w:ind w:left="660" w:hanging="328"/>
        <w:spacing w:after="0" w:line="328"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Revenues for the year ended December 31, 2020 decreased to $958.4 million compared to $991.3 million for the year ended December 31, 2019, a decrease of 3.3% on a reported basis and 3.0% on a constant currency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3200" w:type="dxa"/>
            <w:vAlign w:val="bottom"/>
            <w:gridSpan w:val="4"/>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Pr>
          <w:p>
            <w:pPr>
              <w:spacing w:after="0"/>
              <w:rPr>
                <w:sz w:val="18"/>
                <w:szCs w:val="18"/>
                <w:color w:val="auto"/>
              </w:rPr>
            </w:pPr>
          </w:p>
        </w:tc>
        <w:tc>
          <w:tcPr>
            <w:tcW w:w="3200" w:type="dxa"/>
            <w:vAlign w:val="bottom"/>
            <w:tcBorders>
              <w:top w:val="single" w:sz="8" w:color="auto"/>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4"/>
                <w:szCs w:val="14"/>
                <w:color w:val="auto"/>
              </w:rPr>
            </w:pPr>
          </w:p>
        </w:tc>
        <w:tc>
          <w:tcPr>
            <w:tcW w:w="1320" w:type="dxa"/>
            <w:vAlign w:val="bottom"/>
          </w:tcPr>
          <w:p>
            <w:pPr>
              <w:jc w:val="right"/>
              <w:ind w:right="130"/>
              <w:spacing w:after="0" w:line="17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4"/>
                <w:szCs w:val="14"/>
                <w:color w:val="auto"/>
              </w:rPr>
            </w:pPr>
          </w:p>
        </w:tc>
        <w:tc>
          <w:tcPr>
            <w:tcW w:w="1740" w:type="dxa"/>
            <w:vAlign w:val="bottom"/>
            <w:gridSpan w:val="3"/>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December 31, 2020</w:t>
            </w:r>
          </w:p>
        </w:tc>
        <w:tc>
          <w:tcPr>
            <w:tcW w:w="1680" w:type="dxa"/>
            <w:vAlign w:val="bottom"/>
            <w:gridSpan w:val="2"/>
          </w:tcPr>
          <w:p>
            <w:pPr>
              <w:jc w:val="right"/>
              <w:ind w:right="30"/>
              <w:spacing w:after="0" w:line="171"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8"/>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80" w:type="dxa"/>
            <w:vAlign w:val="bottom"/>
          </w:tcPr>
          <w:p>
            <w:pPr>
              <w:spacing w:after="0"/>
              <w:rPr>
                <w:sz w:val="20"/>
                <w:szCs w:val="20"/>
                <w:color w:val="auto"/>
              </w:rPr>
            </w:pPr>
          </w:p>
        </w:tc>
        <w:tc>
          <w:tcPr>
            <w:tcW w:w="1320" w:type="dxa"/>
            <w:vAlign w:val="bottom"/>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43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80" w:type="dxa"/>
            <w:vAlign w:val="bottom"/>
            <w:tcBorders>
              <w:top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307"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income margin for the year ended December 31, 2020 was 11.5% compared to 7.7% for the year ended December 31, 2019. During the year 2019, we recorded impairment and restructuring charges of $8.7 million related to the wind down of the Health Integrated business, which reduced our operating income margin by approximately 90 basis points. Adjusted operating income margin for the year ended December 31, 2020 was 15.9% compared to 13.4% for the year ended December 31, 2019.</w:t>
      </w:r>
    </w:p>
    <w:p>
      <w:pPr>
        <w:spacing w:after="0" w:line="208" w:lineRule="exact"/>
        <w:rPr>
          <w:rFonts w:ascii="Arial" w:cs="Arial" w:eastAsia="Arial" w:hAnsi="Arial"/>
          <w:sz w:val="18"/>
          <w:szCs w:val="18"/>
          <w:color w:val="auto"/>
        </w:rPr>
      </w:pPr>
    </w:p>
    <w:p>
      <w:pPr>
        <w:jc w:val="both"/>
        <w:ind w:left="660" w:hanging="328"/>
        <w:spacing w:after="0" w:line="30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year ended December 31, 2020 was $2.59 compared to $1.95 for the year ended December 31, 2019. During the year 2019, we recorded impairment and restructuring charges of $8.7 million related to the wind down of the Health Integrated business, which reduced our diluted earnings per share by $0.19. Adjusted diluted earnings per share for the year ended December 31, 2020 was $3.53 compared to $3.09 for the year ended December 31, 2019.</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2020, COVID-19 did not have a significant impact on our business, however, in subsequent quarters, COVID-19 materially impacted us. We took actions to adapt our delivery to a “work from home” model while also focusing on helping our employees and instituting temporary cost reduction measures, certain of which were reversed as of December 31, 2020. Additional information on the impacts of COVID-19 on our business will be included in our upcoming Annual Report on Form 10-K for the year ended December 31, 2020.</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Highlights: Fourth Quarter 2020</w:t>
      </w:r>
    </w:p>
    <w:p>
      <w:pPr>
        <w:spacing w:after="0" w:line="121" w:lineRule="exact"/>
        <w:rPr>
          <w:sz w:val="20"/>
          <w:szCs w:val="20"/>
          <w:color w:val="auto"/>
        </w:rPr>
      </w:pPr>
    </w:p>
    <w:p>
      <w:pPr>
        <w:ind w:left="260" w:right="20" w:hanging="212"/>
        <w:spacing w:after="0" w:line="288" w:lineRule="auto"/>
        <w:tabs>
          <w:tab w:leader="none" w:pos="2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Won 15 new clients in the fourth quarter of 2020, with nine in our operations management businesses and six in Analytics. For 2020, we won 45 new clients, with 22 in operations management businesses and 23 in Analytics.</w:t>
      </w:r>
    </w:p>
    <w:p>
      <w:pPr>
        <w:spacing w:after="0" w:line="1" w:lineRule="exact"/>
        <w:rPr>
          <w:rFonts w:ascii="Arial" w:cs="Arial" w:eastAsia="Arial" w:hAnsi="Arial"/>
          <w:sz w:val="22"/>
          <w:szCs w:val="22"/>
          <w:color w:val="auto"/>
        </w:rPr>
      </w:pPr>
    </w:p>
    <w:p>
      <w:pPr>
        <w:ind w:left="240" w:hanging="19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 Leader in The Forrester Wave™: Insights-Driven Business Process Outsourcing, Q4 2020.</w:t>
      </w:r>
    </w:p>
    <w:p>
      <w:pPr>
        <w:spacing w:after="0" w:line="84"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Positioned as a Leader in the Everest Group Advanced Analytics &amp; Insights (AA&amp;I) Services PEAK Matrix® Assessment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Guidance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73.0, British Pound to U.S. Dollar exchange rate of 1.39, U.S. Dollar to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 Peso exchange rate of 48.0 and all other currencies at current exchange rates, we are providing the following 2021 guidance:</w:t>
      </w:r>
    </w:p>
    <w:p>
      <w:pPr>
        <w:spacing w:after="0" w:line="266" w:lineRule="exact"/>
        <w:rPr>
          <w:sz w:val="20"/>
          <w:szCs w:val="20"/>
          <w:color w:val="auto"/>
        </w:rPr>
      </w:pPr>
    </w:p>
    <w:p>
      <w:pPr>
        <w:ind w:left="660" w:right="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$1.04 billion to $1.06 billion, representing an increase of 9% to 11% on a reported basis, and 8% to 10% on a constant currency basis, from 2020.</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$3.90 to $4.05, representing an increase of 10% to 15% from 2020.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Thursday, February 25, 2021 at 8:00 A.M. ET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11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1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31,900 professionals in locations throughout the United States, the United Kingdom, Europe, India, the Philippines, Colombia, Canada, Australia and South Africa. EXL serves customers in multiple industries including insurance, healthcare, banking and financial services, utilities, travel, transportation and logistics, media and retail, among others. For more information, visit </w:t>
      </w:r>
      <w:r>
        <w:rPr>
          <w:rFonts w:ascii="Times New Roman" w:cs="Times New Roman" w:eastAsia="Times New Roman" w:hAnsi="Times New Roman"/>
          <w:sz w:val="18"/>
          <w:szCs w:val="18"/>
          <w:u w:val="single" w:color="auto"/>
          <w:color w:val="0000FF"/>
        </w:rPr>
        <w:t>www.exlservice.com.</w:t>
      </w:r>
    </w:p>
    <w:p>
      <w:pPr>
        <w:spacing w:after="0" w:line="28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You should not place undue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the coronavirus (COVID-19) pandemic,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0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2620" w:type="dxa"/>
            <w:vAlign w:val="bottom"/>
            <w:tcBorders>
              <w:top w:val="single" w:sz="8" w:color="auto"/>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40" w:type="dxa"/>
            <w:vAlign w:val="bottom"/>
            <w:tcBorders>
              <w:top w:val="single" w:sz="8" w:color="auto"/>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958,434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623,936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168,262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334,498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335,856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88,610</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0" w:type="dxa"/>
            <w:vAlign w:val="bottom"/>
          </w:tcPr>
          <w:p>
            <w:pPr>
              <w:spacing w:after="0"/>
              <w:rPr>
                <w:sz w:val="1"/>
                <w:szCs w:val="1"/>
                <w:color w:val="auto"/>
              </w:rPr>
            </w:pPr>
          </w:p>
        </w:tc>
      </w:tr>
      <w:tr>
        <w:trPr>
          <w:trHeight w:val="229"/>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0" w:type="dxa"/>
            <w:vAlign w:val="bottom"/>
          </w:tcPr>
          <w:p>
            <w:pPr>
              <w:spacing w:after="0"/>
              <w:rPr>
                <w:sz w:val="1"/>
                <w:szCs w:val="1"/>
                <w:color w:val="auto"/>
              </w:rPr>
            </w:pPr>
          </w:p>
        </w:tc>
      </w:tr>
      <w:tr>
        <w:trPr>
          <w:trHeight w:val="229"/>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224,476</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23,314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w:t>
            </w:r>
          </w:p>
        </w:tc>
        <w:tc>
          <w:tcPr>
            <w:tcW w:w="2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115,329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83,100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39,462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24,028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89,703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21,427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89,476</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67,659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21,356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Earnings per share attributable to ExlService Holdings, Inc.</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ExlService Holdings Inc. stockholders: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34,273,388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34,350,150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33,882,013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34,253,308</w:t>
            </w:r>
          </w:p>
        </w:tc>
        <w:tc>
          <w:tcPr>
            <w:tcW w:w="0" w:type="dxa"/>
            <w:vAlign w:val="bottom"/>
          </w:tcPr>
          <w:p>
            <w:pPr>
              <w:spacing w:after="0"/>
              <w:rPr>
                <w:sz w:val="1"/>
                <w:szCs w:val="1"/>
                <w:color w:val="auto"/>
              </w:rPr>
            </w:pPr>
          </w:p>
        </w:tc>
      </w:tr>
      <w:tr>
        <w:trPr>
          <w:trHeight w:val="234"/>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34,555,164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34,732,683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34,696,896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Exclusive of depreciation and amortization expense.</w:t>
      </w:r>
    </w:p>
    <w:p>
      <w:pPr>
        <w:sectPr>
          <w:pgSz w:w="11900" w:h="16838" w:orient="portrait"/>
          <w:cols w:equalWidth="0" w:num="1">
            <w:col w:w="11080"/>
          </w:cols>
          <w:pgMar w:left="400" w:top="1103" w:right="419" w:bottom="1440" w:gutter="0" w:footer="0" w:header="0"/>
        </w:sectPr>
      </w:pPr>
    </w:p>
    <w:bookmarkStart w:id="9" w:name="page10"/>
    <w:bookmarkEnd w:id="9"/>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199"/>
        </w:trPr>
        <w:tc>
          <w:tcPr>
            <w:tcW w:w="7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Advance income tax, net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541,258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349,529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1,183,088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229,349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528,685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513,087</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$0.001 par value; 100,000,000 shares authorized, 38,968,053 shares issued and</w:t>
            </w: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33,559,435 shares outstanding as of December 31, 2020 and 38,480,654 shares issued and</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34,185,241 shares outstanding as of December 31, 2019</w:t>
            </w:r>
          </w:p>
        </w:tc>
        <w:tc>
          <w:tcPr>
            <w:tcW w:w="1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391,240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551,903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987,410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858,290</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Less: 5,408,618 shares as of December 31, 2020 and 4,295,413 shares as of December 31, 2019, held in</w:t>
            </w:r>
          </w:p>
        </w:tc>
        <w:tc>
          <w:tcPr>
            <w:tcW w:w="16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(268,238)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(188,289)</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719,172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670,001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719,172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670,001</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1,183,088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80"/>
          </w:cols>
          <w:pgMar w:left="98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a constant currency basis.</w:t>
      </w:r>
    </w:p>
    <w:p>
      <w:pPr>
        <w:spacing w:after="0" w:line="293" w:lineRule="exact"/>
        <w:rPr>
          <w:sz w:val="20"/>
          <w:szCs w:val="20"/>
          <w:color w:val="auto"/>
        </w:rPr>
      </w:pPr>
    </w:p>
    <w:p>
      <w:pPr>
        <w:jc w:val="both"/>
        <w:ind w:firstLine="405"/>
        <w:spacing w:after="0" w:line="300"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16" w:lineRule="exact"/>
        <w:rPr>
          <w:sz w:val="20"/>
          <w:szCs w:val="20"/>
          <w:color w:val="auto"/>
        </w:rPr>
      </w:pPr>
    </w:p>
    <w:p>
      <w:pPr>
        <w:jc w:val="both"/>
        <w:ind w:firstLine="405"/>
        <w:spacing w:after="0" w:line="302"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any non-recurring tax adjustments and income tax impact of the above pre-tax items, as applicable. The income tax impact of each item is calculated by applying the statutory rate and local tax regulations in the jurisdiction in which the item was incurred.</w:t>
      </w:r>
    </w:p>
    <w:p>
      <w:pPr>
        <w:spacing w:after="0" w:line="215"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0"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71.35 during the quarter ended December 31, 2019 to 73.74 during the quarter ended December 31, 2020, representing an appreciation of 3.4%. The average exchange rate of the U.S. Dollar against the Philippine Peso decreased from 50.73 during the quarter ended December 31, 2019 to 48.16 during the quarter ended December 31, 2020, representing a</w:t>
      </w:r>
    </w:p>
    <w:p>
      <w:pPr>
        <w:sectPr>
          <w:pgSz w:w="11900" w:h="16838" w:orient="portrait"/>
          <w:cols w:equalWidth="0" w:num="1">
            <w:col w:w="11240"/>
          </w:cols>
          <w:pgMar w:left="320" w:top="1022" w:right="339" w:bottom="1440" w:gutter="0" w:footer="0" w:header="0"/>
        </w:sectPr>
      </w:pPr>
    </w:p>
    <w:bookmarkStart w:id="11" w:name="page12"/>
    <w:bookmarkEnd w:id="11"/>
    <w:p>
      <w:pPr>
        <w:spacing w:after="0" w:line="329" w:lineRule="auto"/>
        <w:rPr>
          <w:sz w:val="20"/>
          <w:szCs w:val="20"/>
          <w:color w:val="auto"/>
        </w:rPr>
      </w:pPr>
      <w:r>
        <w:rPr>
          <w:rFonts w:ascii="Times New Roman" w:cs="Times New Roman" w:eastAsia="Times New Roman" w:hAnsi="Times New Roman"/>
          <w:sz w:val="18"/>
          <w:szCs w:val="18"/>
          <w:color w:val="auto"/>
        </w:rPr>
        <w:t>depreciation of 5.1%. The average exchange rate of the British Pound against the U.S. Dollar increased from 1.30 during the quarter ended December 31, 2019 to 1.33 during the quarter ended December 31, 2020, representing a depreciation of 2.2%.</w:t>
      </w:r>
    </w:p>
    <w:p>
      <w:pPr>
        <w:spacing w:after="0" w:line="162"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year ended December 31, 2020 and 2019, the three months ended December 31, 2020 and 2019 and the three months ended September 30, 2020: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89,476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67,659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32,218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21,356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26,418</w:t>
            </w: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Income tax expense/(benefit)</w:t>
            </w: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25,626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subtract: Interest expense, foreign exchange gain, net, loss</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from equity-method investment and 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110,022</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76,453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38,263</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23,314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34,406</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Impairment and restructuring charges (a)</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152,669</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132,752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49,063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34,195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46,165</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i w:val="1"/>
                <w:iCs w:val="1"/>
                <w:color w:val="auto"/>
              </w:rPr>
              <w:t>Adjusted operating income margin as a % of Revenues (Non-</w:t>
            </w:r>
          </w:p>
        </w:tc>
        <w:tc>
          <w:tcPr>
            <w:tcW w:w="2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13.3 %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19.2 %</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GAAP)</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add: Depreciation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36,050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30,423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188,719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163,175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58,830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41,736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55,177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(a) To exclude impairment and restructuring charges related to wind down of the Health Integrated business.</w:t>
      </w:r>
    </w:p>
    <w:p>
      <w:pPr>
        <w:sectPr>
          <w:pgSz w:w="11900" w:h="16838" w:orient="portrait"/>
          <w:cols w:equalWidth="0" w:num="1">
            <w:col w:w="11240"/>
          </w:cols>
          <w:pgMar w:left="320" w:top="91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89,476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67,659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32,218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26,418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Impairment and restructuring charges (a)</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add: Non-cash interest expense related to convertible senior</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Other non-recurring benefits (b)</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subtract: Effect of other non-recurring tax benefits (c)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Tax impact on stock-based compensation expense (d)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subtract: Tax impact on amortization of acquisition-related</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subtract: Tax impact on impairment and restructuring charges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subtract: Tax impact on non-cash interest expense related to</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Tax impact on other non-recurring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121,948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107,368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39,286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80" w:hanging="229"/>
        <w:spacing w:after="0"/>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impairment and restructuring charges related to wind down of the Health Integrated business.</w:t>
      </w:r>
    </w:p>
    <w:p>
      <w:pPr>
        <w:spacing w:after="0" w:line="153"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non-recurring benefits related to wind down of the Health Integrated business.</w:t>
      </w:r>
    </w:p>
    <w:p>
      <w:pPr>
        <w:spacing w:after="0" w:line="59"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non-recurring tax expense/(benefits) related to certain deferred tax assets and liabilities.</w:t>
      </w:r>
    </w:p>
    <w:p>
      <w:pPr>
        <w:spacing w:after="0" w:line="113" w:lineRule="exact"/>
        <w:rPr>
          <w:rFonts w:ascii="Times New Roman" w:cs="Times New Roman" w:eastAsia="Times New Roman" w:hAnsi="Times New Roman"/>
          <w:sz w:val="16"/>
          <w:szCs w:val="16"/>
          <w:i w:val="1"/>
          <w:iCs w:val="1"/>
          <w:color w:val="auto"/>
        </w:rPr>
      </w:pPr>
    </w:p>
    <w:p>
      <w:pPr>
        <w:jc w:val="both"/>
        <w:ind w:left="500" w:hanging="249"/>
        <w:spacing w:after="0" w:line="265" w:lineRule="auto"/>
        <w:tabs>
          <w:tab w:leader="none" w:pos="49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Tax impact includes $2,378 and $2,306 for the year ended December 31, 2020 and 2019 respectively, $504 and $1,211 during the three months ended December 31, 2020 and 2019 respectively, and $52 during the three months ended September 30, 2020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Steven N. Barlow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880"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596-7684 </w:t>
      </w:r>
      <w:r>
        <w:rPr>
          <w:rFonts w:ascii="Times New Roman" w:cs="Times New Roman" w:eastAsia="Times New Roman" w:hAnsi="Times New Roman"/>
          <w:sz w:val="17"/>
          <w:szCs w:val="17"/>
          <w:u w:val="single" w:color="auto"/>
          <w:color w:val="0000FF"/>
        </w:rPr>
        <w:t>ir@exlservice.com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2021-02-25T09:27:40Z</dcterms:created>
  <dcterms:modified xsi:type="dcterms:W3CDTF">2021-02-25T09:27:40Z</dcterms:modified>
</cp:coreProperties>
</file>