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136"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UNITED STATES</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SECURITIES AND EXCHANGE COMMISSION</w:t>
      </w:r>
    </w:p>
    <w:p>
      <w:pPr>
        <w:jc w:val="center"/>
        <w:ind w:right="-1140"/>
        <w:spacing w:after="0"/>
        <w:rPr>
          <w:sz w:val="20"/>
          <w:szCs w:val="20"/>
          <w:color w:val="auto"/>
        </w:rPr>
      </w:pPr>
      <w:r>
        <w:rPr>
          <w:rFonts w:ascii="Arial" w:cs="Arial" w:eastAsia="Arial" w:hAnsi="Arial"/>
          <w:sz w:val="13"/>
          <w:szCs w:val="13"/>
          <w:b w:val="1"/>
          <w:bCs w:val="1"/>
          <w:color w:val="auto"/>
        </w:rPr>
        <w:t>Washington, D.C. 20549</w:t>
      </w:r>
    </w:p>
    <w:p>
      <w:pPr>
        <w:spacing w:after="0" w:line="12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SCHEDULE 14A</w:t>
      </w:r>
    </w:p>
    <w:p>
      <w:pPr>
        <w:spacing w:after="0" w:line="164"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(Rule 14a-101)</w:t>
      </w:r>
    </w:p>
    <w:p>
      <w:pPr>
        <w:spacing w:after="0" w:line="152"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INFORMATION REQUIRED IN PROXY STATEMENT</w:t>
      </w:r>
    </w:p>
    <w:p>
      <w:pPr>
        <w:spacing w:after="0" w:line="164" w:lineRule="exact"/>
        <w:rPr>
          <w:sz w:val="24"/>
          <w:szCs w:val="24"/>
          <w:color w:val="auto"/>
        </w:rPr>
      </w:pPr>
    </w:p>
    <w:p>
      <w:pPr>
        <w:ind w:left="4700"/>
        <w:spacing w:after="0"/>
        <w:rPr>
          <w:sz w:val="20"/>
          <w:szCs w:val="20"/>
          <w:color w:val="auto"/>
        </w:rPr>
      </w:pPr>
      <w:r>
        <w:rPr>
          <w:rFonts w:ascii="Arial" w:cs="Arial" w:eastAsia="Arial" w:hAnsi="Arial"/>
          <w:sz w:val="13"/>
          <w:szCs w:val="13"/>
          <w:b w:val="1"/>
          <w:bCs w:val="1"/>
          <w:color w:val="auto"/>
        </w:rPr>
        <w:t>SCHEDULE 14A INFORMATION</w:t>
      </w:r>
    </w:p>
    <w:p>
      <w:pPr>
        <w:sectPr>
          <w:pgSz w:w="11900" w:h="16838" w:orient="portrait"/>
          <w:cols w:equalWidth="0" w:num="1">
            <w:col w:w="10159"/>
          </w:cols>
          <w:pgMar w:left="300" w:top="550" w:right="1440" w:bottom="1440" w:gutter="0" w:footer="0" w:header="0"/>
        </w:sectPr>
      </w:pPr>
    </w:p>
    <w:p>
      <w:pPr>
        <w:spacing w:after="0" w:line="152" w:lineRule="exact"/>
        <w:rPr>
          <w:sz w:val="24"/>
          <w:szCs w:val="24"/>
          <w:color w:val="auto"/>
        </w:rPr>
      </w:pPr>
    </w:p>
    <w:p>
      <w:pPr>
        <w:ind w:left="4280"/>
        <w:spacing w:after="0"/>
        <w:rPr>
          <w:sz w:val="20"/>
          <w:szCs w:val="20"/>
          <w:color w:val="auto"/>
        </w:rPr>
      </w:pPr>
      <w:r>
        <w:rPr>
          <w:rFonts w:ascii="Arial" w:cs="Arial" w:eastAsia="Arial" w:hAnsi="Arial"/>
          <w:sz w:val="12"/>
          <w:szCs w:val="12"/>
          <w:b w:val="1"/>
          <w:bCs w:val="1"/>
          <w:color w:val="auto"/>
        </w:rPr>
        <w:t>Proxy Statement Pursuant to Section 14(a) of</w:t>
      </w:r>
    </w:p>
    <w:p>
      <w:pPr>
        <w:spacing w:after="0" w:line="24" w:lineRule="exact"/>
        <w:rPr>
          <w:sz w:val="24"/>
          <w:szCs w:val="24"/>
          <w:color w:val="auto"/>
        </w:rPr>
      </w:pPr>
    </w:p>
    <w:p>
      <w:pPr>
        <w:ind w:left="3840"/>
        <w:spacing w:after="0"/>
        <w:rPr>
          <w:sz w:val="20"/>
          <w:szCs w:val="20"/>
          <w:color w:val="auto"/>
        </w:rPr>
      </w:pPr>
      <w:r>
        <w:rPr>
          <w:rFonts w:ascii="Arial" w:cs="Arial" w:eastAsia="Arial" w:hAnsi="Arial"/>
          <w:sz w:val="12"/>
          <w:szCs w:val="12"/>
          <w:b w:val="1"/>
          <w:bCs w:val="1"/>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135" w:lineRule="exact"/>
        <w:rPr>
          <w:sz w:val="24"/>
          <w:szCs w:val="24"/>
          <w:color w:val="auto"/>
        </w:rPr>
      </w:pPr>
    </w:p>
    <w:p>
      <w:pPr>
        <w:sectPr>
          <w:pgSz w:w="11900" w:h="16838" w:orient="portrait"/>
          <w:cols w:equalWidth="0" w:num="2">
            <w:col w:w="7060" w:space="340"/>
            <w:col w:w="2759"/>
          </w:cols>
          <w:pgMar w:left="300" w:top="550" w:right="1440" w:bottom="1440" w:gutter="0" w:footer="0" w:header="0"/>
          <w:type w:val="continuous"/>
        </w:sectPr>
      </w:pPr>
    </w:p>
    <w:p>
      <w:pPr>
        <w:ind w:left="1140"/>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2"/>
          <w:szCs w:val="12"/>
          <w:color w:val="auto"/>
        </w:rPr>
        <w:t>Filed by a Party other than the Registrant o</w:t>
      </w:r>
    </w:p>
    <w:p>
      <w:pPr>
        <w:spacing w:after="0" w:line="200" w:lineRule="exact"/>
        <w:rPr>
          <w:sz w:val="24"/>
          <w:szCs w:val="24"/>
          <w:color w:val="auto"/>
        </w:rPr>
      </w:pPr>
    </w:p>
    <w:p>
      <w:pPr>
        <w:sectPr>
          <w:pgSz w:w="11900" w:h="16838" w:orient="portrait"/>
          <w:cols w:equalWidth="0" w:num="2">
            <w:col w:w="5100" w:space="720"/>
            <w:col w:w="4339"/>
          </w:cols>
          <w:pgMar w:left="300" w:top="550" w:right="1440" w:bottom="144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left="1140"/>
        <w:spacing w:after="0"/>
        <w:rPr>
          <w:sz w:val="20"/>
          <w:szCs w:val="20"/>
          <w:color w:val="auto"/>
        </w:rPr>
      </w:pPr>
      <w:r>
        <w:rPr>
          <w:rFonts w:ascii="Arial" w:cs="Arial" w:eastAsia="Arial" w:hAnsi="Arial"/>
          <w:sz w:val="13"/>
          <w:szCs w:val="13"/>
          <w:color w:val="auto"/>
        </w:rPr>
        <w:t>Check the appropriate box:</w:t>
      </w:r>
    </w:p>
    <w:p>
      <w:pPr>
        <w:spacing w:after="0" w:line="171" w:lineRule="exact"/>
        <w:rPr>
          <w:sz w:val="24"/>
          <w:szCs w:val="24"/>
          <w:color w:val="auto"/>
        </w:rPr>
      </w:pPr>
    </w:p>
    <w:p>
      <w:pPr>
        <w:ind w:left="1420" w:hanging="289"/>
        <w:spacing w:after="0"/>
        <w:tabs>
          <w:tab w:leader="none" w:pos="14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165" w:lineRule="exact"/>
        <w:rPr>
          <w:rFonts w:ascii="Arial" w:cs="Arial" w:eastAsia="Arial" w:hAnsi="Arial"/>
          <w:sz w:val="13"/>
          <w:szCs w:val="13"/>
          <w:color w:val="auto"/>
        </w:rPr>
      </w:pPr>
    </w:p>
    <w:p>
      <w:pPr>
        <w:ind w:left="1420" w:hanging="289"/>
        <w:spacing w:after="0"/>
        <w:tabs>
          <w:tab w:leader="none" w:pos="142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97" w:lineRule="exact"/>
        <w:rPr>
          <w:sz w:val="24"/>
          <w:szCs w:val="24"/>
          <w:color w:val="auto"/>
        </w:rPr>
      </w:pPr>
    </w:p>
    <w:p>
      <w:pPr>
        <w:ind w:left="1420" w:hanging="289"/>
        <w:spacing w:after="0"/>
        <w:tabs>
          <w:tab w:leader="none" w:pos="142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181" w:lineRule="exact"/>
        <w:rPr>
          <w:sz w:val="24"/>
          <w:szCs w:val="24"/>
          <w:color w:val="auto"/>
        </w:rPr>
      </w:pPr>
    </w:p>
    <w:p>
      <w:pPr>
        <w:ind w:left="1420" w:hanging="289"/>
        <w:spacing w:after="0"/>
        <w:tabs>
          <w:tab w:leader="none" w:pos="1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181" w:lineRule="exact"/>
        <w:rPr>
          <w:rFonts w:ascii="Arial" w:cs="Arial" w:eastAsia="Arial" w:hAnsi="Arial"/>
          <w:sz w:val="13"/>
          <w:szCs w:val="13"/>
          <w:color w:val="auto"/>
        </w:rPr>
      </w:pPr>
    </w:p>
    <w:p>
      <w:pPr>
        <w:ind w:left="1420" w:hanging="289"/>
        <w:spacing w:after="0"/>
        <w:tabs>
          <w:tab w:leader="none" w:pos="1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Soliciting Material under §240.14a-12</w:t>
      </w:r>
    </w:p>
    <w:p>
      <w:pPr>
        <w:spacing w:after="0" w:line="200" w:lineRule="exact"/>
        <w:rPr>
          <w:sz w:val="24"/>
          <w:szCs w:val="24"/>
          <w:color w:val="auto"/>
        </w:rPr>
      </w:pPr>
    </w:p>
    <w:p>
      <w:pPr>
        <w:spacing w:after="0" w:line="247"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715010</wp:posOffset>
            </wp:positionH>
            <wp:positionV relativeFrom="paragraph">
              <wp:posOffset>49530</wp:posOffset>
            </wp:positionV>
            <wp:extent cx="574421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4210" cy="6350"/>
                    </a:xfrm>
                    <a:prstGeom prst="rect">
                      <a:avLst/>
                    </a:prstGeom>
                    <a:noFill/>
                  </pic:spPr>
                </pic:pic>
              </a:graphicData>
            </a:graphic>
          </wp:anchor>
        </w:drawing>
      </w:r>
    </w:p>
    <w:p>
      <w:pPr>
        <w:spacing w:after="0" w:line="129"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(Name of Registrant as Specified in its Charter)</w:t>
      </w:r>
    </w:p>
    <w:p>
      <w:pPr>
        <w:spacing w:after="0" w:line="155"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715010</wp:posOffset>
            </wp:positionH>
            <wp:positionV relativeFrom="paragraph">
              <wp:posOffset>49530</wp:posOffset>
            </wp:positionV>
            <wp:extent cx="57442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4210" cy="6350"/>
                    </a:xfrm>
                    <a:prstGeom prst="rect">
                      <a:avLst/>
                    </a:prstGeom>
                    <a:noFill/>
                  </pic:spPr>
                </pic:pic>
              </a:graphicData>
            </a:graphic>
          </wp:anchor>
        </w:drawing>
      </w:r>
    </w:p>
    <w:p>
      <w:pPr>
        <w:spacing w:after="0" w:line="129"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42" w:lineRule="exact"/>
        <w:rPr>
          <w:sz w:val="24"/>
          <w:szCs w:val="24"/>
          <w:color w:val="auto"/>
        </w:rPr>
      </w:pPr>
    </w:p>
    <w:p>
      <w:pPr>
        <w:ind w:left="1140"/>
        <w:spacing w:after="0"/>
        <w:rPr>
          <w:sz w:val="20"/>
          <w:szCs w:val="20"/>
          <w:color w:val="auto"/>
        </w:rPr>
      </w:pPr>
      <w:r>
        <w:rPr>
          <w:rFonts w:ascii="Arial" w:cs="Arial" w:eastAsia="Arial" w:hAnsi="Arial"/>
          <w:sz w:val="13"/>
          <w:szCs w:val="13"/>
          <w:color w:val="auto"/>
        </w:rPr>
        <w:t>PAYMENT OF FILING FEE (Check the appropriate box):</w:t>
      </w:r>
    </w:p>
    <w:p>
      <w:pPr>
        <w:spacing w:after="0" w:line="171" w:lineRule="exact"/>
        <w:rPr>
          <w:sz w:val="24"/>
          <w:szCs w:val="24"/>
          <w:color w:val="auto"/>
        </w:rPr>
      </w:pPr>
    </w:p>
    <w:p>
      <w:pPr>
        <w:ind w:left="1420" w:hanging="289"/>
        <w:spacing w:after="0"/>
        <w:tabs>
          <w:tab w:leader="none" w:pos="142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81" w:lineRule="exact"/>
        <w:rPr>
          <w:sz w:val="24"/>
          <w:szCs w:val="24"/>
          <w:color w:val="auto"/>
        </w:rPr>
      </w:pPr>
    </w:p>
    <w:p>
      <w:pPr>
        <w:ind w:left="1420" w:hanging="289"/>
        <w:spacing w:after="0"/>
        <w:tabs>
          <w:tab w:leader="none" w:pos="1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6" w:lineRule="exact"/>
        <w:rPr>
          <w:rFonts w:ascii="Arial" w:cs="Arial" w:eastAsia="Arial" w:hAnsi="Arial"/>
          <w:sz w:val="13"/>
          <w:szCs w:val="13"/>
          <w:color w:val="auto"/>
        </w:rPr>
      </w:pPr>
    </w:p>
    <w:p>
      <w:pPr>
        <w:ind w:left="1720" w:hanging="307"/>
        <w:spacing w:after="0"/>
        <w:tabs>
          <w:tab w:leader="none" w:pos="1720" w:val="left"/>
        </w:tabs>
        <w:numPr>
          <w:ilvl w:val="1"/>
          <w:numId w:val="5"/>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81" w:lineRule="exact"/>
        <w:rPr>
          <w:rFonts w:ascii="Arial" w:cs="Arial" w:eastAsia="Arial" w:hAnsi="Arial"/>
          <w:sz w:val="13"/>
          <w:szCs w:val="13"/>
          <w:color w:val="auto"/>
        </w:rPr>
      </w:pPr>
    </w:p>
    <w:p>
      <w:pPr>
        <w:ind w:left="1720" w:hanging="307"/>
        <w:spacing w:after="0"/>
        <w:tabs>
          <w:tab w:leader="none" w:pos="1720" w:val="left"/>
        </w:tabs>
        <w:numPr>
          <w:ilvl w:val="1"/>
          <w:numId w:val="5"/>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81" w:lineRule="exact"/>
        <w:rPr>
          <w:rFonts w:ascii="Arial" w:cs="Arial" w:eastAsia="Arial" w:hAnsi="Arial"/>
          <w:sz w:val="13"/>
          <w:szCs w:val="13"/>
          <w:color w:val="auto"/>
        </w:rPr>
      </w:pPr>
    </w:p>
    <w:p>
      <w:pPr>
        <w:ind w:left="1720" w:right="239" w:hanging="307"/>
        <w:spacing w:after="0" w:line="239" w:lineRule="auto"/>
        <w:tabs>
          <w:tab w:leader="none" w:pos="1720" w:val="left"/>
        </w:tabs>
        <w:numPr>
          <w:ilvl w:val="1"/>
          <w:numId w:val="5"/>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spacing w:after="0" w:line="178" w:lineRule="exact"/>
        <w:rPr>
          <w:rFonts w:ascii="Arial" w:cs="Arial" w:eastAsia="Arial" w:hAnsi="Arial"/>
          <w:sz w:val="13"/>
          <w:szCs w:val="13"/>
          <w:color w:val="auto"/>
        </w:rPr>
      </w:pPr>
    </w:p>
    <w:p>
      <w:pPr>
        <w:ind w:left="1720" w:hanging="307"/>
        <w:spacing w:after="0"/>
        <w:tabs>
          <w:tab w:leader="none" w:pos="172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81" w:lineRule="exact"/>
        <w:rPr>
          <w:rFonts w:ascii="Arial" w:cs="Arial" w:eastAsia="Arial" w:hAnsi="Arial"/>
          <w:sz w:val="13"/>
          <w:szCs w:val="13"/>
          <w:color w:val="auto"/>
        </w:rPr>
      </w:pPr>
    </w:p>
    <w:p>
      <w:pPr>
        <w:ind w:left="1720" w:hanging="307"/>
        <w:spacing w:after="0"/>
        <w:tabs>
          <w:tab w:leader="none" w:pos="1720" w:val="left"/>
        </w:tabs>
        <w:numPr>
          <w:ilvl w:val="1"/>
          <w:numId w:val="5"/>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356" w:lineRule="exact"/>
        <w:rPr>
          <w:rFonts w:ascii="Arial" w:cs="Arial" w:eastAsia="Arial" w:hAnsi="Arial"/>
          <w:sz w:val="13"/>
          <w:szCs w:val="13"/>
          <w:color w:val="auto"/>
        </w:rPr>
      </w:pPr>
    </w:p>
    <w:p>
      <w:pPr>
        <w:ind w:left="1420" w:hanging="289"/>
        <w:spacing w:after="0"/>
        <w:tabs>
          <w:tab w:leader="none" w:pos="1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181" w:lineRule="exact"/>
        <w:rPr>
          <w:rFonts w:ascii="Arial" w:cs="Arial" w:eastAsia="Arial" w:hAnsi="Arial"/>
          <w:sz w:val="13"/>
          <w:szCs w:val="13"/>
          <w:color w:val="auto"/>
        </w:rPr>
      </w:pPr>
    </w:p>
    <w:p>
      <w:pPr>
        <w:ind w:left="1420" w:right="99" w:hanging="289"/>
        <w:spacing w:after="0" w:line="239" w:lineRule="auto"/>
        <w:tabs>
          <w:tab w:leader="none" w:pos="142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9" w:lineRule="exact"/>
        <w:rPr>
          <w:rFonts w:ascii="Arial" w:cs="Arial" w:eastAsia="Arial" w:hAnsi="Arial"/>
          <w:sz w:val="13"/>
          <w:szCs w:val="13"/>
          <w:color w:val="auto"/>
        </w:rPr>
      </w:pPr>
    </w:p>
    <w:p>
      <w:pPr>
        <w:ind w:left="1720" w:hanging="307"/>
        <w:spacing w:after="0"/>
        <w:tabs>
          <w:tab w:leader="none" w:pos="1720"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181" w:lineRule="exact"/>
        <w:rPr>
          <w:rFonts w:ascii="Arial" w:cs="Arial" w:eastAsia="Arial" w:hAnsi="Arial"/>
          <w:sz w:val="13"/>
          <w:szCs w:val="13"/>
          <w:color w:val="auto"/>
        </w:rPr>
      </w:pPr>
    </w:p>
    <w:p>
      <w:pPr>
        <w:ind w:left="1720" w:hanging="307"/>
        <w:spacing w:after="0"/>
        <w:tabs>
          <w:tab w:leader="none" w:pos="172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181" w:lineRule="exact"/>
        <w:rPr>
          <w:rFonts w:ascii="Arial" w:cs="Arial" w:eastAsia="Arial" w:hAnsi="Arial"/>
          <w:sz w:val="13"/>
          <w:szCs w:val="13"/>
          <w:color w:val="auto"/>
        </w:rPr>
      </w:pPr>
    </w:p>
    <w:p>
      <w:pPr>
        <w:ind w:left="1720" w:hanging="307"/>
        <w:spacing w:after="0"/>
        <w:tabs>
          <w:tab w:leader="none" w:pos="1720"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181" w:lineRule="exact"/>
        <w:rPr>
          <w:rFonts w:ascii="Arial" w:cs="Arial" w:eastAsia="Arial" w:hAnsi="Arial"/>
          <w:sz w:val="13"/>
          <w:szCs w:val="13"/>
          <w:color w:val="auto"/>
        </w:rPr>
      </w:pPr>
    </w:p>
    <w:p>
      <w:pPr>
        <w:ind w:left="1720" w:hanging="307"/>
        <w:spacing w:after="0"/>
        <w:tabs>
          <w:tab w:leader="none" w:pos="1720"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717740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1905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-2282190</wp:posOffset>
            </wp:positionV>
            <wp:extent cx="53549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54955" cy="635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-2072005</wp:posOffset>
            </wp:positionV>
            <wp:extent cx="53549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4955" cy="635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-1769745</wp:posOffset>
            </wp:positionV>
            <wp:extent cx="53549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54955" cy="635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-1559560</wp:posOffset>
            </wp:positionV>
            <wp:extent cx="53549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54955" cy="635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-1349375</wp:posOffset>
            </wp:positionV>
            <wp:extent cx="535495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4955" cy="635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-521970</wp:posOffset>
            </wp:positionV>
            <wp:extent cx="53549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54955" cy="635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-311785</wp:posOffset>
            </wp:positionV>
            <wp:extent cx="535495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54955" cy="635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-102235</wp:posOffset>
            </wp:positionV>
            <wp:extent cx="535495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4955" cy="635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107315</wp:posOffset>
            </wp:positionV>
            <wp:extent cx="535495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4955" cy="6350"/>
                    </a:xfrm>
                    <a:prstGeom prst="rect">
                      <a:avLst/>
                    </a:prstGeom>
                    <a:noFill/>
                  </pic:spPr>
                </pic:pic>
              </a:graphicData>
            </a:graphic>
          </wp:anchor>
        </w:drawing>
      </w:r>
    </w:p>
    <w:p>
      <w:pPr>
        <w:sectPr>
          <w:pgSz w:w="11900" w:h="16838" w:orient="portrait"/>
          <w:cols w:equalWidth="0" w:num="1">
            <w:col w:w="10159"/>
          </w:cols>
          <w:pgMar w:left="300" w:top="550" w:right="1440" w:bottom="1440" w:gutter="0" w:footer="0" w:header="0"/>
          <w:type w:val="continuous"/>
        </w:sectPr>
      </w:pPr>
    </w:p>
    <w:bookmarkStart w:id="1" w:name="page2"/>
    <w:bookmarkEnd w:id="1"/>
    <w:p>
      <w:pPr>
        <w:spacing w:after="0"/>
        <w:rPr>
          <w:rFonts w:ascii="Arial" w:cs="Arial" w:eastAsia="Arial" w:hAnsi="Arial"/>
          <w:sz w:val="12"/>
          <w:szCs w:val="12"/>
          <w:u w:val="single" w:color="auto"/>
          <w:color w:val="0000EE"/>
        </w:rPr>
      </w:pPr>
      <w:hyperlink w:anchor="page8">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177405" cy="7451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7451725"/>
                    </a:xfrm>
                    <a:prstGeom prst="rect">
                      <a:avLst/>
                    </a:prstGeom>
                    <a:noFill/>
                  </pic:spPr>
                </pic:pic>
              </a:graphicData>
            </a:graphic>
          </wp:anchor>
        </w:drawing>
      </w:r>
    </w:p>
    <w:p>
      <w:pPr>
        <w:sectPr>
          <w:pgSz w:w="11900" w:h="16838" w:orient="portrait"/>
          <w:cols w:equalWidth="0" w:num="1">
            <w:col w:w="10159"/>
          </w:cols>
          <w:pgMar w:left="300" w:top="142" w:right="1440"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0420" cy="5003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891540</wp:posOffset>
            </wp:positionV>
            <wp:extent cx="815340" cy="598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5340" cy="59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320 Park Avenue, 29</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Floor</w:t>
      </w:r>
    </w:p>
    <w:p>
      <w:pPr>
        <w:jc w:val="right"/>
        <w:spacing w:after="0" w:line="234" w:lineRule="auto"/>
        <w:rPr>
          <w:sz w:val="20"/>
          <w:szCs w:val="20"/>
          <w:color w:val="auto"/>
        </w:rPr>
      </w:pPr>
      <w:r>
        <w:rPr>
          <w:rFonts w:ascii="Arial" w:cs="Arial" w:eastAsia="Arial" w:hAnsi="Arial"/>
          <w:sz w:val="13"/>
          <w:szCs w:val="13"/>
          <w:b w:val="1"/>
          <w:bCs w:val="1"/>
          <w:color w:val="auto"/>
        </w:rPr>
        <w:t>New York, NY 10022</w:t>
      </w:r>
    </w:p>
    <w:p>
      <w:pPr>
        <w:jc w:val="right"/>
        <w:spacing w:after="0"/>
        <w:rPr>
          <w:sz w:val="20"/>
          <w:szCs w:val="20"/>
          <w:color w:val="auto"/>
        </w:rPr>
      </w:pPr>
      <w:r>
        <w:rPr>
          <w:rFonts w:ascii="Arial" w:cs="Arial" w:eastAsia="Arial" w:hAnsi="Arial"/>
          <w:sz w:val="13"/>
          <w:szCs w:val="13"/>
          <w:b w:val="1"/>
          <w:bCs w:val="1"/>
          <w:color w:val="auto"/>
        </w:rPr>
        <w:t>(212) 277-7100</w:t>
      </w:r>
    </w:p>
    <w:p>
      <w:pPr>
        <w:spacing w:after="0" w:line="32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April 23, 2021</w:t>
      </w:r>
    </w:p>
    <w:p>
      <w:pPr>
        <w:spacing w:after="0" w:line="181"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Dear Stockholder,</w:t>
      </w:r>
    </w:p>
    <w:p>
      <w:pPr>
        <w:spacing w:after="0" w:line="171" w:lineRule="exact"/>
        <w:rPr>
          <w:sz w:val="20"/>
          <w:szCs w:val="20"/>
          <w:color w:val="auto"/>
        </w:rPr>
      </w:pPr>
    </w:p>
    <w:p>
      <w:pPr>
        <w:jc w:val="both"/>
        <w:ind w:left="1480" w:right="20"/>
        <w:spacing w:after="0" w:line="236" w:lineRule="auto"/>
        <w:rPr>
          <w:sz w:val="20"/>
          <w:szCs w:val="20"/>
          <w:color w:val="auto"/>
        </w:rPr>
      </w:pPr>
      <w:r>
        <w:rPr>
          <w:rFonts w:ascii="Arial" w:cs="Arial" w:eastAsia="Arial" w:hAnsi="Arial"/>
          <w:sz w:val="13"/>
          <w:szCs w:val="13"/>
          <w:color w:val="auto"/>
        </w:rPr>
        <w:t>As we look back at 2020, we are proud of our performance and perseverance despite the uncertainties that marked this unprecedented year. The efforts EXL put in place early, such as shifting our 30,000+ global workforce to a work from home model, ensuring the health and safety of our employees and safeguarding the business continuity of our clients, helped establish the momentum that we would carry throughout the year. Ultimately, through a combination of ingenuity, hard work and collaboration, we demonstrated agility and resilience in the face of crisis. We ended the year with stronger client relationships, expanded capabilities and a reaffirmation of our mission to work as one team to help our clients transform.</w:t>
      </w:r>
    </w:p>
    <w:p>
      <w:pPr>
        <w:spacing w:after="0" w:line="179" w:lineRule="exact"/>
        <w:rPr>
          <w:sz w:val="20"/>
          <w:szCs w:val="20"/>
          <w:color w:val="auto"/>
        </w:rPr>
      </w:pPr>
    </w:p>
    <w:p>
      <w:pPr>
        <w:jc w:val="both"/>
        <w:ind w:left="1480" w:right="20"/>
        <w:spacing w:after="0" w:line="239" w:lineRule="auto"/>
        <w:rPr>
          <w:sz w:val="20"/>
          <w:szCs w:val="20"/>
          <w:color w:val="auto"/>
        </w:rPr>
      </w:pPr>
      <w:r>
        <w:rPr>
          <w:rFonts w:ascii="Arial" w:cs="Arial" w:eastAsia="Arial" w:hAnsi="Arial"/>
          <w:sz w:val="13"/>
          <w:szCs w:val="13"/>
          <w:color w:val="auto"/>
        </w:rPr>
        <w:t>2020 provided a unique opportunity for us to implement our philosophy of looking deeper, finding a better way, and making it happen. Our character and culture stood out more than ever as we exemplified our core values of collaboration, innovation, excellence, integrity and respect.</w:t>
      </w:r>
    </w:p>
    <w:p>
      <w:pPr>
        <w:spacing w:after="0" w:line="179" w:lineRule="exact"/>
        <w:rPr>
          <w:sz w:val="20"/>
          <w:szCs w:val="20"/>
          <w:color w:val="auto"/>
        </w:rPr>
      </w:pPr>
    </w:p>
    <w:p>
      <w:pPr>
        <w:jc w:val="both"/>
        <w:ind w:left="1480" w:right="20"/>
        <w:spacing w:after="0" w:line="236" w:lineRule="auto"/>
        <w:rPr>
          <w:sz w:val="20"/>
          <w:szCs w:val="20"/>
          <w:color w:val="auto"/>
        </w:rPr>
      </w:pPr>
      <w:r>
        <w:rPr>
          <w:rFonts w:ascii="Arial" w:cs="Arial" w:eastAsia="Arial" w:hAnsi="Arial"/>
          <w:sz w:val="13"/>
          <w:szCs w:val="13"/>
          <w:color w:val="auto"/>
        </w:rPr>
        <w:t>For the year, we generated revenues of $958.4 million, representing a 3.3% decline from 2019. Like most of the market, the second quarter resulted in the most severe impact on our revenues resulting from COVID-19, representing an 8.6% decline in revenue during that quarter. Owing to the resiliency of our business model and new demand for our services in the second half of the year, we were able to close the year with strong revenue momentum. We also focused on our expense base as a means to mitigate the impacts of COVID-19. EXL achieved record profitability with diluted EPS of $2.59, up from $1.95 in 2019.</w:t>
      </w:r>
    </w:p>
    <w:p>
      <w:pPr>
        <w:spacing w:after="0" w:line="171" w:lineRule="exact"/>
        <w:rPr>
          <w:sz w:val="20"/>
          <w:szCs w:val="20"/>
          <w:color w:val="auto"/>
        </w:rPr>
      </w:pPr>
    </w:p>
    <w:p>
      <w:pPr>
        <w:jc w:val="both"/>
        <w:ind w:left="1480" w:right="20"/>
        <w:spacing w:after="0" w:line="239" w:lineRule="auto"/>
        <w:rPr>
          <w:sz w:val="20"/>
          <w:szCs w:val="20"/>
          <w:color w:val="auto"/>
        </w:rPr>
      </w:pPr>
      <w:r>
        <w:rPr>
          <w:rFonts w:ascii="Arial" w:cs="Arial" w:eastAsia="Arial" w:hAnsi="Arial"/>
          <w:sz w:val="13"/>
          <w:szCs w:val="13"/>
          <w:color w:val="auto"/>
        </w:rPr>
        <w:t>There are two key trends that drove our strong performance in 2020 and we believe that these trends will provide momentum for future revenue growth: (1) accelerated demand for our full suite of data and analytics capabilities and (2) leveraging cloud-based solutions to embed intelligence in operations.</w:t>
      </w:r>
    </w:p>
    <w:p>
      <w:pPr>
        <w:spacing w:after="0" w:line="179" w:lineRule="exact"/>
        <w:rPr>
          <w:sz w:val="20"/>
          <w:szCs w:val="20"/>
          <w:color w:val="auto"/>
        </w:rPr>
      </w:pPr>
    </w:p>
    <w:p>
      <w:pPr>
        <w:jc w:val="both"/>
        <w:ind w:left="1480" w:right="20"/>
        <w:spacing w:after="0" w:line="237" w:lineRule="auto"/>
        <w:rPr>
          <w:sz w:val="20"/>
          <w:szCs w:val="20"/>
          <w:color w:val="auto"/>
        </w:rPr>
      </w:pPr>
      <w:r>
        <w:rPr>
          <w:rFonts w:ascii="Arial" w:cs="Arial" w:eastAsia="Arial" w:hAnsi="Arial"/>
          <w:sz w:val="13"/>
          <w:szCs w:val="13"/>
          <w:color w:val="auto"/>
        </w:rPr>
        <w:t>First, the massive migration of consumers onto digital channels amid the uneven economic recovery has spurred demand for data-driven insights and powerful analytics. As a result, we are seeing surging interest in our data-led value creation framework, which is being used by clients in every industry we serve to deliver more personalized customer experiences, optimize costs and support resilient operating models. We are well positioned to capitalize on this accelerated market demand.</w:t>
      </w:r>
    </w:p>
    <w:p>
      <w:pPr>
        <w:spacing w:after="0" w:line="180" w:lineRule="exact"/>
        <w:rPr>
          <w:sz w:val="20"/>
          <w:szCs w:val="20"/>
          <w:color w:val="auto"/>
        </w:rPr>
      </w:pPr>
    </w:p>
    <w:p>
      <w:pPr>
        <w:jc w:val="both"/>
        <w:ind w:left="1480" w:right="20"/>
        <w:spacing w:after="0" w:line="236" w:lineRule="auto"/>
        <w:rPr>
          <w:sz w:val="20"/>
          <w:szCs w:val="20"/>
          <w:color w:val="auto"/>
        </w:rPr>
      </w:pPr>
      <w:r>
        <w:rPr>
          <w:rFonts w:ascii="Arial" w:cs="Arial" w:eastAsia="Arial" w:hAnsi="Arial"/>
          <w:sz w:val="13"/>
          <w:szCs w:val="13"/>
          <w:color w:val="auto"/>
        </w:rPr>
        <w:t>The second key trend is our cloud solutions offerings through which we are able to embed Artificial Intelligence (AI) in operations, fueling the growth in our operations management business. The Cloud has become central to our clients' resilience strategies and it is the lynchpin to powering advanced data and analytics functions. We are currently investing in a cloud center of excellence and our partnership ecosystem to develop and go-to-market with these cloud-native AI solutions. With several solution pilots underway, we are co-innovating with our clients and partners to solve strategic business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1408430" cy="333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Arial" w:cs="Arial" w:eastAsia="Arial" w:hAnsi="Arial"/>
          <w:sz w:val="13"/>
          <w:szCs w:val="13"/>
          <w:color w:val="auto"/>
        </w:rPr>
        <w:t>We have entered 2021, our 15th year as a public company, with strong momentum in our large deals pipeline and new logos of leading companies to our client portfolio.</w:t>
      </w:r>
    </w:p>
    <w:p>
      <w:pPr>
        <w:spacing w:after="0" w:line="181" w:lineRule="exact"/>
        <w:rPr>
          <w:sz w:val="20"/>
          <w:szCs w:val="20"/>
          <w:color w:val="auto"/>
        </w:rPr>
      </w:pPr>
    </w:p>
    <w:p>
      <w:pPr>
        <w:jc w:val="both"/>
        <w:ind w:left="80" w:right="1260"/>
        <w:spacing w:after="0" w:line="237" w:lineRule="auto"/>
        <w:rPr>
          <w:sz w:val="20"/>
          <w:szCs w:val="20"/>
          <w:color w:val="auto"/>
        </w:rPr>
      </w:pPr>
      <w:r>
        <w:rPr>
          <w:rFonts w:ascii="Arial" w:cs="Arial" w:eastAsia="Arial" w:hAnsi="Arial"/>
          <w:sz w:val="13"/>
          <w:szCs w:val="13"/>
          <w:color w:val="auto"/>
        </w:rPr>
        <w:t>Most importantly, though, the success we have enjoyed in such a difficult year is a testament to the amazing contributions of so many hard-working individuals. We greatly appreciate the contribution of all our colleagues around the world and the support of our stockholders, clients and partners, and we look forward to seeing what we can all accomplish together in 2021.</w:t>
      </w:r>
    </w:p>
    <w:p>
      <w:pPr>
        <w:spacing w:after="0" w:line="170" w:lineRule="exact"/>
        <w:rPr>
          <w:sz w:val="20"/>
          <w:szCs w:val="20"/>
          <w:color w:val="auto"/>
        </w:rPr>
      </w:pPr>
    </w:p>
    <w:p>
      <w:pPr>
        <w:jc w:val="both"/>
        <w:ind w:left="80" w:right="1260"/>
        <w:spacing w:after="0" w:line="239" w:lineRule="auto"/>
        <w:rPr>
          <w:sz w:val="20"/>
          <w:szCs w:val="20"/>
          <w:color w:val="auto"/>
        </w:rPr>
      </w:pPr>
      <w:r>
        <w:rPr>
          <w:rFonts w:ascii="Arial" w:cs="Arial" w:eastAsia="Arial" w:hAnsi="Arial"/>
          <w:sz w:val="13"/>
          <w:szCs w:val="13"/>
          <w:color w:val="auto"/>
        </w:rPr>
        <w:t>Our efforts to be good stewards of your capital and to provide industry-leading services to our clients are not our only pledge to our stockholders and other stakeholders. We view our sustainability efforts as integral to our long-term success, durability and resiliency as an organization.</w:t>
      </w:r>
    </w:p>
    <w:p>
      <w:pPr>
        <w:spacing w:after="0" w:line="179" w:lineRule="exact"/>
        <w:rPr>
          <w:sz w:val="20"/>
          <w:szCs w:val="20"/>
          <w:color w:val="auto"/>
        </w:rPr>
      </w:pPr>
    </w:p>
    <w:p>
      <w:pPr>
        <w:jc w:val="both"/>
        <w:ind w:left="80" w:right="1260"/>
        <w:spacing w:after="0" w:line="262" w:lineRule="auto"/>
        <w:rPr>
          <w:sz w:val="20"/>
          <w:szCs w:val="20"/>
          <w:color w:val="auto"/>
        </w:rPr>
      </w:pPr>
      <w:r>
        <w:rPr>
          <w:rFonts w:ascii="Arial" w:cs="Arial" w:eastAsia="Arial" w:hAnsi="Arial"/>
          <w:sz w:val="12"/>
          <w:szCs w:val="12"/>
          <w:color w:val="auto"/>
        </w:rPr>
        <w:t>In last year's letter to stockholders, we pledged to improve our disclosure on our sustainability efforts. We have delivered on that pledge. In November 2020, we published our first Sustainability Report according to the UN Sustainability Development Goals and the Global Reporting Initiative standards, which outlines our efforts and goals for improving the environment, human capital management, and corporate social responsibility, among others. More recently, we applied and will soon become a participant in the UN Global Compact. You can read more about our recent accomplishments in sustainability in the "Sustainability" section of this Proxy Statement.</w:t>
      </w:r>
    </w:p>
    <w:p>
      <w:pPr>
        <w:spacing w:after="0" w:line="166" w:lineRule="exact"/>
        <w:rPr>
          <w:sz w:val="20"/>
          <w:szCs w:val="20"/>
          <w:color w:val="auto"/>
        </w:rPr>
      </w:pPr>
    </w:p>
    <w:p>
      <w:pPr>
        <w:jc w:val="both"/>
        <w:ind w:left="80" w:right="1260"/>
        <w:spacing w:after="0" w:line="237" w:lineRule="auto"/>
        <w:rPr>
          <w:sz w:val="20"/>
          <w:szCs w:val="20"/>
          <w:color w:val="auto"/>
        </w:rPr>
      </w:pPr>
      <w:r>
        <w:rPr>
          <w:rFonts w:ascii="Arial" w:cs="Arial" w:eastAsia="Arial" w:hAnsi="Arial"/>
          <w:sz w:val="13"/>
          <w:szCs w:val="13"/>
          <w:color w:val="auto"/>
        </w:rPr>
        <w:t>We also continue to improve upon our strong corporate governance practices. At the end of 2020, we launched our formal stockholder engagement program, through which we hold meetings with our stockholders on topics relating to strategy, performance and governance, including board refreshment. These conversations inform our governance practices. Please refer to the "Corporate Governance" section of this Proxy Statement to learn more about governance practices and philosophy.</w:t>
      </w:r>
    </w:p>
    <w:p>
      <w:pPr>
        <w:spacing w:after="0" w:line="170" w:lineRule="exact"/>
        <w:rPr>
          <w:sz w:val="20"/>
          <w:szCs w:val="20"/>
          <w:color w:val="auto"/>
        </w:rPr>
      </w:pPr>
    </w:p>
    <w:p>
      <w:pPr>
        <w:jc w:val="both"/>
        <w:ind w:left="80" w:right="1280"/>
        <w:spacing w:after="0" w:line="239" w:lineRule="auto"/>
        <w:rPr>
          <w:sz w:val="20"/>
          <w:szCs w:val="20"/>
          <w:color w:val="auto"/>
        </w:rPr>
      </w:pPr>
      <w:r>
        <w:rPr>
          <w:rFonts w:ascii="Arial" w:cs="Arial" w:eastAsia="Arial" w:hAnsi="Arial"/>
          <w:sz w:val="13"/>
          <w:szCs w:val="13"/>
          <w:color w:val="auto"/>
        </w:rPr>
        <w:t>The success we have enjoyed in such a difficult year is a testament to the amazing contributions of many hard-working individuals. We look forward to seeing what EXL will accomplish in 2021.</w:t>
      </w:r>
    </w:p>
    <w:p>
      <w:pPr>
        <w:spacing w:after="0" w:line="179" w:lineRule="exact"/>
        <w:rPr>
          <w:sz w:val="20"/>
          <w:szCs w:val="20"/>
          <w:color w:val="auto"/>
        </w:rPr>
      </w:pPr>
    </w:p>
    <w:p>
      <w:pPr>
        <w:jc w:val="both"/>
        <w:ind w:left="80" w:right="1280"/>
        <w:spacing w:after="0" w:line="239" w:lineRule="auto"/>
        <w:rPr>
          <w:sz w:val="20"/>
          <w:szCs w:val="20"/>
          <w:color w:val="auto"/>
        </w:rPr>
      </w:pPr>
      <w:r>
        <w:rPr>
          <w:rFonts w:ascii="Arial" w:cs="Arial" w:eastAsia="Arial" w:hAnsi="Arial"/>
          <w:sz w:val="13"/>
          <w:szCs w:val="13"/>
          <w:color w:val="auto"/>
        </w:rPr>
        <w:t>Finally, we wish to thank David Kelso and Deborah Kerr, who will be departing from our board of directors following our 2021 Annual Meeting of Stockholders, for their service to EXL.</w:t>
      </w:r>
    </w:p>
    <w:p>
      <w:pPr>
        <w:spacing w:after="0" w:line="179" w:lineRule="exact"/>
        <w:rPr>
          <w:sz w:val="20"/>
          <w:szCs w:val="20"/>
          <w:color w:val="auto"/>
        </w:rPr>
      </w:pPr>
    </w:p>
    <w:p>
      <w:pPr>
        <w:jc w:val="both"/>
        <w:ind w:left="80" w:right="1260"/>
        <w:spacing w:after="0" w:line="236" w:lineRule="auto"/>
        <w:rPr>
          <w:sz w:val="20"/>
          <w:szCs w:val="20"/>
          <w:color w:val="auto"/>
        </w:rPr>
      </w:pPr>
      <w:r>
        <w:rPr>
          <w:rFonts w:ascii="Arial" w:cs="Arial" w:eastAsia="Arial" w:hAnsi="Arial"/>
          <w:sz w:val="13"/>
          <w:szCs w:val="13"/>
          <w:color w:val="auto"/>
        </w:rPr>
        <w:t>On behalf of the board of directors of ExlService Holdings, Inc., we are pleased to invite you to the 2021 Annual Meeting of Stockholders, which will be held on June 16, 2021. We look forward to sharing more about our Company at the Annual Meeting. Due to concerns regarding the current public health crisis related to the COVID-19 pandemic and the health and wellbeing of our stockholders, employees and directors, we will hold our Annual Meeting in virtual format only via live audio webcast instead of holding the meeting in New York or at any physical location. We encourage you to read carefully the attached 2021 Annual Meeting of Stockholders and Proxy Statement, which contain important information about the matters to be voted upon and instructions on how you can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192405</wp:posOffset>
            </wp:positionV>
            <wp:extent cx="1408430" cy="333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3"/>
          <w:szCs w:val="13"/>
          <w:color w:val="FFFFFE"/>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000"/>
          </w:cols>
          <w:pgMar w:left="300" w:top="142" w:right="59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Your vote is important to us. Please vote as soon as possible whether or not you plan to participate in the Annual Meeting.</w:t>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3"/>
          <w:szCs w:val="13"/>
          <w:color w:val="auto"/>
        </w:rPr>
        <w:t>The board of directors and management look forward to seeing you at the Annual Meeting.</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1185545" cy="543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5545" cy="54356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-3175</wp:posOffset>
            </wp:positionV>
            <wp:extent cx="1167130" cy="673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67130" cy="673100"/>
                    </a:xfrm>
                    <a:prstGeom prst="rect">
                      <a:avLst/>
                    </a:prstGeom>
                    <a:noFill/>
                  </pic:spPr>
                </pic:pic>
              </a:graphicData>
            </a:graphic>
          </wp:anchor>
        </w:drawing>
      </w:r>
    </w:p>
    <w:p>
      <w:pPr>
        <w:sectPr>
          <w:pgSz w:w="11900" w:h="16838" w:orient="portrait"/>
          <w:cols w:equalWidth="0" w:num="1">
            <w:col w:w="10159"/>
          </w:cols>
          <w:pgMar w:left="30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Garen K. Staglin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1408430" cy="333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Rohit Kapoor</w:t>
      </w:r>
    </w:p>
    <w:p>
      <w:pPr>
        <w:spacing w:after="0"/>
        <w:rPr>
          <w:sz w:val="20"/>
          <w:szCs w:val="20"/>
          <w:color w:val="auto"/>
        </w:rPr>
      </w:pPr>
      <w:r>
        <w:rPr>
          <w:rFonts w:ascii="Arial" w:cs="Arial" w:eastAsia="Arial" w:hAnsi="Arial"/>
          <w:sz w:val="12"/>
          <w:szCs w:val="12"/>
          <w:i w:val="1"/>
          <w:iCs w:val="1"/>
          <w:color w:val="auto"/>
        </w:rPr>
        <w:t>Vice Chairman and CEO</w:t>
      </w:r>
    </w:p>
    <w:p>
      <w:pPr>
        <w:spacing w:after="0" w:line="211" w:lineRule="exact"/>
        <w:rPr>
          <w:sz w:val="20"/>
          <w:szCs w:val="20"/>
          <w:color w:val="auto"/>
        </w:rPr>
      </w:pPr>
    </w:p>
    <w:p>
      <w:pPr>
        <w:sectPr>
          <w:pgSz w:w="11900" w:h="16838" w:orient="portrait"/>
          <w:cols w:equalWidth="0" w:num="2">
            <w:col w:w="3660" w:space="720"/>
            <w:col w:w="5779"/>
          </w:cols>
          <w:pgMar w:left="300" w:top="142" w:right="1440" w:bottom="1440" w:gutter="0" w:footer="0" w:header="0"/>
          <w:type w:val="continuous"/>
        </w:sect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717740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0159"/>
          </w:cols>
          <w:pgMar w:left="300" w:top="142" w:right="1440" w:bottom="1440" w:gutter="0" w:footer="0" w:header="0"/>
          <w:type w:val="continuous"/>
        </w:sectPr>
      </w:pPr>
    </w:p>
    <w:bookmarkStart w:id="5" w:name="page6"/>
    <w:bookmarkEnd w:id="5"/>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NOTICE OF 2021 ANNUAL MEETING OF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Dear Stockholder:</w:t>
      </w:r>
    </w:p>
    <w:p>
      <w:pPr>
        <w:spacing w:after="0" w:line="171" w:lineRule="exact"/>
        <w:rPr>
          <w:sz w:val="20"/>
          <w:szCs w:val="20"/>
          <w:color w:val="auto"/>
        </w:rPr>
      </w:pPr>
    </w:p>
    <w:p>
      <w:pPr>
        <w:ind w:right="1200"/>
        <w:spacing w:after="0" w:line="239" w:lineRule="auto"/>
        <w:rPr>
          <w:sz w:val="20"/>
          <w:szCs w:val="20"/>
          <w:color w:val="auto"/>
        </w:rPr>
      </w:pPr>
      <w:r>
        <w:rPr>
          <w:rFonts w:ascii="Arial" w:cs="Arial" w:eastAsia="Arial" w:hAnsi="Arial"/>
          <w:sz w:val="13"/>
          <w:szCs w:val="13"/>
          <w:color w:val="auto"/>
        </w:rPr>
        <w:t>You are cordially invited to the 2021 Annual Meeting of Stockholders of ExlService Holdings, Inc., a Delaware corporation (the "Company"), for the purposes of voting on the following matters:</w:t>
      </w:r>
    </w:p>
    <w:p>
      <w:pPr>
        <w:spacing w:after="0" w:line="169" w:lineRule="exact"/>
        <w:rPr>
          <w:sz w:val="20"/>
          <w:szCs w:val="20"/>
          <w:color w:val="auto"/>
        </w:rPr>
      </w:pPr>
    </w:p>
    <w:p>
      <w:pPr>
        <w:ind w:left="380" w:hanging="242"/>
        <w:spacing w:after="0"/>
        <w:tabs>
          <w:tab w:leader="none" w:pos="380" w:val="left"/>
        </w:tabs>
        <w:numPr>
          <w:ilvl w:val="0"/>
          <w:numId w:val="6"/>
        </w:numPr>
        <w:rPr>
          <w:rFonts w:ascii="Arial" w:cs="Arial" w:eastAsia="Arial" w:hAnsi="Arial"/>
          <w:sz w:val="13"/>
          <w:szCs w:val="13"/>
          <w:color w:val="FF4000"/>
        </w:rPr>
      </w:pPr>
      <w:r>
        <w:rPr>
          <w:rFonts w:ascii="Arial" w:cs="Arial" w:eastAsia="Arial" w:hAnsi="Arial"/>
          <w:sz w:val="13"/>
          <w:szCs w:val="13"/>
          <w:color w:val="auto"/>
        </w:rPr>
        <w:t>the election of nine members of the board of directors of the Company;</w:t>
      </w:r>
    </w:p>
    <w:p>
      <w:pPr>
        <w:spacing w:after="0" w:line="171" w:lineRule="exact"/>
        <w:rPr>
          <w:rFonts w:ascii="Arial" w:cs="Arial" w:eastAsia="Arial" w:hAnsi="Arial"/>
          <w:sz w:val="13"/>
          <w:szCs w:val="13"/>
          <w:color w:val="FF4000"/>
        </w:rPr>
      </w:pPr>
    </w:p>
    <w:p>
      <w:pPr>
        <w:ind w:left="380" w:hanging="242"/>
        <w:spacing w:after="0"/>
        <w:tabs>
          <w:tab w:leader="none" w:pos="380" w:val="left"/>
        </w:tabs>
        <w:numPr>
          <w:ilvl w:val="0"/>
          <w:numId w:val="6"/>
        </w:numPr>
        <w:rPr>
          <w:rFonts w:ascii="Arial" w:cs="Arial" w:eastAsia="Arial" w:hAnsi="Arial"/>
          <w:sz w:val="13"/>
          <w:szCs w:val="13"/>
          <w:color w:val="FF4000"/>
        </w:rPr>
      </w:pPr>
      <w:r>
        <w:rPr>
          <w:rFonts w:ascii="Arial" w:cs="Arial" w:eastAsia="Arial" w:hAnsi="Arial"/>
          <w:sz w:val="13"/>
          <w:szCs w:val="13"/>
          <w:color w:val="auto"/>
        </w:rPr>
        <w:t>the ratification of the appointment of Deloitte &amp; Touche LLP as the independent registered public accounting firm of the Company for fiscal year 2021;</w:t>
      </w:r>
    </w:p>
    <w:p>
      <w:pPr>
        <w:spacing w:after="0" w:line="171" w:lineRule="exact"/>
        <w:rPr>
          <w:rFonts w:ascii="Arial" w:cs="Arial" w:eastAsia="Arial" w:hAnsi="Arial"/>
          <w:sz w:val="13"/>
          <w:szCs w:val="13"/>
          <w:color w:val="FF4000"/>
        </w:rPr>
      </w:pPr>
    </w:p>
    <w:p>
      <w:pPr>
        <w:ind w:left="380" w:hanging="242"/>
        <w:spacing w:after="0"/>
        <w:tabs>
          <w:tab w:leader="none" w:pos="380" w:val="left"/>
        </w:tabs>
        <w:numPr>
          <w:ilvl w:val="0"/>
          <w:numId w:val="6"/>
        </w:numPr>
        <w:rPr>
          <w:rFonts w:ascii="Arial" w:cs="Arial" w:eastAsia="Arial" w:hAnsi="Arial"/>
          <w:sz w:val="13"/>
          <w:szCs w:val="13"/>
          <w:color w:val="FF4000"/>
        </w:rPr>
      </w:pPr>
      <w:r>
        <w:rPr>
          <w:rFonts w:ascii="Arial" w:cs="Arial" w:eastAsia="Arial" w:hAnsi="Arial"/>
          <w:sz w:val="13"/>
          <w:szCs w:val="13"/>
          <w:color w:val="auto"/>
        </w:rPr>
        <w:t>the approval, on a non-binding advisory basis, of the compensation of the named executive officers of the Company; and</w:t>
      </w:r>
    </w:p>
    <w:p>
      <w:pPr>
        <w:spacing w:after="0" w:line="171" w:lineRule="exact"/>
        <w:rPr>
          <w:rFonts w:ascii="Arial" w:cs="Arial" w:eastAsia="Arial" w:hAnsi="Arial"/>
          <w:sz w:val="13"/>
          <w:szCs w:val="13"/>
          <w:color w:val="FF4000"/>
        </w:rPr>
      </w:pPr>
    </w:p>
    <w:p>
      <w:pPr>
        <w:ind w:left="380" w:hanging="242"/>
        <w:spacing w:after="0"/>
        <w:tabs>
          <w:tab w:leader="none" w:pos="380" w:val="left"/>
        </w:tabs>
        <w:numPr>
          <w:ilvl w:val="0"/>
          <w:numId w:val="6"/>
        </w:numPr>
        <w:rPr>
          <w:rFonts w:ascii="Arial" w:cs="Arial" w:eastAsia="Arial" w:hAnsi="Arial"/>
          <w:sz w:val="13"/>
          <w:szCs w:val="13"/>
          <w:color w:val="FF4000"/>
        </w:rPr>
      </w:pPr>
      <w:r>
        <w:rPr>
          <w:rFonts w:ascii="Arial" w:cs="Arial" w:eastAsia="Arial" w:hAnsi="Arial"/>
          <w:sz w:val="13"/>
          <w:szCs w:val="13"/>
          <w:color w:val="auto"/>
        </w:rPr>
        <w:t>the transaction of such other business as may properly come before the Annual Meeting or any adjournment or postponement thereof.</w:t>
      </w:r>
    </w:p>
    <w:p>
      <w:pPr>
        <w:spacing w:after="0" w:line="171" w:lineRule="exact"/>
        <w:rPr>
          <w:sz w:val="20"/>
          <w:szCs w:val="20"/>
          <w:color w:val="auto"/>
        </w:rPr>
      </w:pPr>
    </w:p>
    <w:p>
      <w:pPr>
        <w:jc w:val="both"/>
        <w:ind w:right="1200"/>
        <w:spacing w:after="0" w:line="236" w:lineRule="auto"/>
        <w:rPr>
          <w:sz w:val="20"/>
          <w:szCs w:val="20"/>
          <w:color w:val="auto"/>
        </w:rPr>
      </w:pPr>
      <w:r>
        <w:rPr>
          <w:rFonts w:ascii="Arial" w:cs="Arial" w:eastAsia="Arial" w:hAnsi="Arial"/>
          <w:sz w:val="13"/>
          <w:szCs w:val="13"/>
          <w:color w:val="auto"/>
        </w:rPr>
        <w:t>Due to the current state of the public health crisis related to COVID-19, and the health and wellbeing of our stockholders, employees and directors, we will hold our Annual Meeting in virtual format only, via live audio webcast (rather than at any physical location) on June 16, 2021 at 9:30 AM, Eastern Time, instead of holding the meeting in New York or at any physical location. You or your proxyholder may participate, vote, and examine our stockholder list at the Annual Meeting by visiting www.virtualshareholdermeeting.com/EXLS2021 and using your 16-digit control number.</w:t>
      </w:r>
    </w:p>
    <w:p>
      <w:pPr>
        <w:spacing w:after="0" w:line="171" w:lineRule="exact"/>
        <w:rPr>
          <w:sz w:val="20"/>
          <w:szCs w:val="20"/>
          <w:color w:val="auto"/>
        </w:rPr>
      </w:pPr>
    </w:p>
    <w:p>
      <w:pPr>
        <w:jc w:val="both"/>
        <w:ind w:right="1200"/>
        <w:spacing w:after="0" w:line="233" w:lineRule="auto"/>
        <w:rPr>
          <w:sz w:val="20"/>
          <w:szCs w:val="20"/>
          <w:color w:val="auto"/>
        </w:rPr>
      </w:pPr>
      <w:r>
        <w:rPr>
          <w:rFonts w:ascii="Arial" w:cs="Arial" w:eastAsia="Arial" w:hAnsi="Arial"/>
          <w:sz w:val="13"/>
          <w:szCs w:val="13"/>
          <w:color w:val="auto"/>
        </w:rPr>
        <w:t>If you are a stockholder of record at the close of business on April 19, 2021, the record date for the Annual Meeting, you are entitled to vote at the Annual Meeting. A list of stockholders as of the record date will be available for examination for any purpose germane to the Annual Meeting, during ordinary business hours, at the Company's</w:t>
      </w:r>
    </w:p>
    <w:p>
      <w:pPr>
        <w:spacing w:after="0" w:line="1" w:lineRule="exact"/>
        <w:rPr>
          <w:sz w:val="20"/>
          <w:szCs w:val="20"/>
          <w:color w:val="auto"/>
        </w:rPr>
      </w:pPr>
    </w:p>
    <w:p>
      <w:pPr>
        <w:jc w:val="both"/>
        <w:ind w:right="1200"/>
        <w:spacing w:after="0" w:line="215" w:lineRule="auto"/>
        <w:rPr>
          <w:sz w:val="20"/>
          <w:szCs w:val="20"/>
          <w:color w:val="auto"/>
        </w:rPr>
      </w:pPr>
      <w:r>
        <w:rPr>
          <w:rFonts w:ascii="Arial" w:cs="Arial" w:eastAsia="Arial" w:hAnsi="Arial"/>
          <w:sz w:val="13"/>
          <w:szCs w:val="13"/>
          <w:color w:val="auto"/>
        </w:rPr>
        <w:t>executive offices at 320 Park Avenue, 29</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New York 10022, for a period of 10 days prior to the date of the Annual Meeting and at the Annual Meeting itself. If our corporate headquarters are closed during the 10 days prior to the Annual Meeting, you may send a written request to the Corporate Secretary at our corporate headquarters, and we will arrange a method for you to inspect the list. The list of stockholders will also be available during the Annual Meeting at www.virtualshareholdermeeting.com/EXLS2021.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193040</wp:posOffset>
            </wp:positionV>
            <wp:extent cx="1408430" cy="333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3"/>
          <w:szCs w:val="13"/>
          <w:color w:val="FFFFFE"/>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000"/>
          </w:cols>
          <w:pgMar w:left="300" w:top="142" w:right="59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480" w:right="20"/>
        <w:spacing w:after="0" w:line="264" w:lineRule="auto"/>
        <w:rPr>
          <w:sz w:val="20"/>
          <w:szCs w:val="20"/>
          <w:color w:val="auto"/>
        </w:rPr>
      </w:pPr>
      <w:r>
        <w:rPr>
          <w:rFonts w:ascii="Arial" w:cs="Arial" w:eastAsia="Arial" w:hAnsi="Arial"/>
          <w:sz w:val="13"/>
          <w:szCs w:val="13"/>
          <w:b w:val="1"/>
          <w:bCs w:val="1"/>
          <w:color w:val="auto"/>
        </w:rPr>
        <w:t>Please note the technical requirements for virtual attendance at the Annual Meeting, as described in the enclosed Proxy Statement beginning on Page 117 under the heading "Annual Meeting Q&amp;A."</w:t>
      </w:r>
    </w:p>
    <w:p>
      <w:pPr>
        <w:spacing w:after="0" w:line="154" w:lineRule="exact"/>
        <w:rPr>
          <w:sz w:val="20"/>
          <w:szCs w:val="20"/>
          <w:color w:val="auto"/>
        </w:rPr>
      </w:pPr>
    </w:p>
    <w:p>
      <w:pPr>
        <w:jc w:val="both"/>
        <w:ind w:left="1480" w:right="20"/>
        <w:spacing w:after="0" w:line="236" w:lineRule="auto"/>
        <w:rPr>
          <w:sz w:val="20"/>
          <w:szCs w:val="20"/>
          <w:color w:val="auto"/>
        </w:rPr>
      </w:pPr>
      <w:r>
        <w:rPr>
          <w:rFonts w:ascii="Arial" w:cs="Arial" w:eastAsia="Arial" w:hAnsi="Arial"/>
          <w:sz w:val="13"/>
          <w:szCs w:val="13"/>
          <w:color w:val="auto"/>
        </w:rPr>
        <w:t>Pursuant to rules promulgated by the Securities and Exchange Commission, we are providing access to our proxy materials over the Internet. On or about April 23, 2021, we will mail a Notice of Internet Availability of Proxy Materials (the "Internet Notice") to each of our stockholders of record and beneficial owners at the close of business on the record date. On the date of mailing of the Internet Notice, all stockholders and beneficial owners will have the ability to access all of the proxy materials on a website referred to in the Internet Notice. These proxy materials will be available free of charge.</w:t>
      </w:r>
    </w:p>
    <w:p>
      <w:pPr>
        <w:spacing w:after="0" w:line="180" w:lineRule="exact"/>
        <w:rPr>
          <w:sz w:val="20"/>
          <w:szCs w:val="20"/>
          <w:color w:val="auto"/>
        </w:rPr>
      </w:pPr>
    </w:p>
    <w:p>
      <w:pPr>
        <w:jc w:val="both"/>
        <w:ind w:left="1480"/>
        <w:spacing w:after="0" w:line="235" w:lineRule="auto"/>
        <w:rPr>
          <w:sz w:val="20"/>
          <w:szCs w:val="20"/>
          <w:color w:val="auto"/>
        </w:rPr>
      </w:pPr>
      <w:r>
        <w:rPr>
          <w:rFonts w:ascii="Arial" w:cs="Arial" w:eastAsia="Arial" w:hAnsi="Arial"/>
          <w:sz w:val="13"/>
          <w:szCs w:val="13"/>
          <w:color w:val="auto"/>
        </w:rPr>
        <w:t>Whether or not you expect to attend the Annual Meeting, the Company encourages you to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You can revoke a proxy at any time before it is exercised by voting at the Annual Meeting, by delivering a subsequent proxy or by notifying the inspector of elections in writing of such revocation prior to the Annual Meeting. 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113665</wp:posOffset>
            </wp:positionV>
            <wp:extent cx="2192655" cy="759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92655" cy="75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Ajay Ayyappan</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3"/>
          <w:szCs w:val="13"/>
          <w:i w:val="1"/>
          <w:iCs w:val="1"/>
          <w:color w:val="auto"/>
        </w:rPr>
        <w:t>Senior Vice President, General Counsel and Corporate Secretary</w:t>
      </w:r>
    </w:p>
    <w:p>
      <w:pPr>
        <w:spacing w:after="0" w:line="183"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New York, New York</w:t>
      </w:r>
    </w:p>
    <w:p>
      <w:pPr>
        <w:spacing w:after="0" w:line="181"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April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1408430" cy="333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FF4000"/>
        </w:rPr>
        <w:drawing>
          <wp:anchor simplePos="0" relativeHeight="251657728" behindDoc="1" locked="0" layoutInCell="0" allowOverlap="1">
            <wp:simplePos x="0" y="0"/>
            <wp:positionH relativeFrom="page">
              <wp:posOffset>189230</wp:posOffset>
            </wp:positionH>
            <wp:positionV relativeFrom="page">
              <wp:posOffset>88900</wp:posOffset>
            </wp:positionV>
            <wp:extent cx="7170420" cy="500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0420" cy="500380"/>
                    </a:xfrm>
                    <a:prstGeom prst="rect">
                      <a:avLst/>
                    </a:prstGeom>
                    <a:noFill/>
                  </pic:spPr>
                </pic:pic>
              </a:graphicData>
            </a:graphic>
          </wp:anchor>
        </w:drawing>
        <w:t>2021 PROXY STATEMENT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FF4000"/>
        </w:rPr>
        <w:t>TABLE OF CONTENTS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0" w:type="dxa"/>
            <w:vAlign w:val="bottom"/>
            <w:gridSpan w:val="19"/>
          </w:tcPr>
          <w:p>
            <w:pPr>
              <w:spacing w:after="0"/>
              <w:rPr>
                <w:rFonts w:ascii="Arial" w:cs="Arial" w:eastAsia="Arial" w:hAnsi="Arial"/>
                <w:sz w:val="13"/>
                <w:szCs w:val="13"/>
                <w:b w:val="1"/>
                <w:bCs w:val="1"/>
                <w:color w:val="0000EE"/>
              </w:rPr>
            </w:pPr>
            <w:hyperlink w:anchor="page9">
              <w:r>
                <w:rPr>
                  <w:rFonts w:ascii="Arial" w:cs="Arial" w:eastAsia="Arial" w:hAnsi="Arial"/>
                  <w:sz w:val="13"/>
                  <w:szCs w:val="13"/>
                  <w:b w:val="1"/>
                  <w:bCs w:val="1"/>
                  <w:color w:val="0000EE"/>
                </w:rPr>
                <w:t>2021 PROXY STATEMENT SUMMARY</w:t>
              </w:r>
            </w:hyperlink>
          </w:p>
        </w:tc>
        <w:tc>
          <w:tcPr>
            <w:tcW w:w="2300" w:type="dxa"/>
            <w:vAlign w:val="bottom"/>
            <w:gridSpan w:val="4"/>
          </w:tcPr>
          <w:p>
            <w:pPr>
              <w:jc w:val="right"/>
              <w:spacing w:after="0"/>
              <w:rPr>
                <w:rFonts w:ascii="Arial" w:cs="Arial" w:eastAsia="Arial" w:hAnsi="Arial"/>
                <w:sz w:val="13"/>
                <w:szCs w:val="13"/>
                <w:b w:val="1"/>
                <w:bCs w:val="1"/>
                <w:color w:val="0000EE"/>
              </w:rPr>
            </w:pPr>
            <w:hyperlink w:anchor="page9">
              <w:r>
                <w:rPr>
                  <w:rFonts w:ascii="Arial" w:cs="Arial" w:eastAsia="Arial" w:hAnsi="Arial"/>
                  <w:sz w:val="13"/>
                  <w:szCs w:val="13"/>
                  <w:b w:val="1"/>
                  <w:bCs w:val="1"/>
                  <w:color w:val="0000EE"/>
                </w:rPr>
                <w:t>8</w:t>
              </w:r>
            </w:hyperlink>
          </w:p>
        </w:tc>
      </w:tr>
      <w:tr>
        <w:trPr>
          <w:trHeight w:val="20"/>
        </w:trPr>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82"/>
        </w:trPr>
        <w:tc>
          <w:tcPr>
            <w:tcW w:w="2220" w:type="dxa"/>
            <w:vAlign w:val="bottom"/>
            <w:gridSpan w:val="10"/>
          </w:tcPr>
          <w:p>
            <w:pPr>
              <w:spacing w:after="0"/>
              <w:rPr>
                <w:rFonts w:ascii="Arial" w:cs="Arial" w:eastAsia="Arial" w:hAnsi="Arial"/>
                <w:sz w:val="13"/>
                <w:szCs w:val="13"/>
                <w:b w:val="1"/>
                <w:bCs w:val="1"/>
                <w:color w:val="0000EE"/>
              </w:rPr>
            </w:pPr>
            <w:hyperlink w:anchor="page19">
              <w:r>
                <w:rPr>
                  <w:rFonts w:ascii="Arial" w:cs="Arial" w:eastAsia="Arial" w:hAnsi="Arial"/>
                  <w:sz w:val="13"/>
                  <w:szCs w:val="13"/>
                  <w:b w:val="1"/>
                  <w:bCs w:val="1"/>
                  <w:color w:val="0000EE"/>
                </w:rPr>
                <w:t>OUR BOARD OF DIRECTORS</w:t>
              </w:r>
            </w:hyperlink>
          </w:p>
        </w:tc>
        <w:tc>
          <w:tcPr>
            <w:tcW w:w="6780" w:type="dxa"/>
            <w:vAlign w:val="bottom"/>
            <w:gridSpan w:val="9"/>
          </w:tcPr>
          <w:p>
            <w:pPr>
              <w:spacing w:after="0"/>
              <w:rPr>
                <w:sz w:val="24"/>
                <w:szCs w:val="24"/>
                <w:color w:val="auto"/>
              </w:rPr>
            </w:pPr>
          </w:p>
        </w:tc>
        <w:tc>
          <w:tcPr>
            <w:tcW w:w="2300" w:type="dxa"/>
            <w:vAlign w:val="bottom"/>
            <w:gridSpan w:val="4"/>
          </w:tcPr>
          <w:p>
            <w:pPr>
              <w:jc w:val="right"/>
              <w:spacing w:after="0"/>
              <w:rPr>
                <w:rFonts w:ascii="Arial" w:cs="Arial" w:eastAsia="Arial" w:hAnsi="Arial"/>
                <w:sz w:val="13"/>
                <w:szCs w:val="13"/>
                <w:b w:val="1"/>
                <w:bCs w:val="1"/>
                <w:color w:val="0000EE"/>
              </w:rPr>
            </w:pPr>
            <w:hyperlink w:anchor="page19">
              <w:r>
                <w:rPr>
                  <w:rFonts w:ascii="Arial" w:cs="Arial" w:eastAsia="Arial" w:hAnsi="Arial"/>
                  <w:sz w:val="13"/>
                  <w:szCs w:val="13"/>
                  <w:b w:val="1"/>
                  <w:bCs w:val="1"/>
                  <w:color w:val="0000EE"/>
                </w:rPr>
                <w:t>18</w:t>
              </w:r>
            </w:hyperlink>
          </w:p>
        </w:tc>
      </w:tr>
      <w:tr>
        <w:trPr>
          <w:trHeight w:val="282"/>
        </w:trPr>
        <w:tc>
          <w:tcPr>
            <w:tcW w:w="1740" w:type="dxa"/>
            <w:vAlign w:val="bottom"/>
            <w:tcBorders>
              <w:top w:val="single" w:sz="8" w:color="0000EE"/>
              <w:bottom w:val="single" w:sz="8" w:color="0000EE"/>
            </w:tcBorders>
            <w:gridSpan w:val="6"/>
          </w:tcPr>
          <w:p>
            <w:pPr>
              <w:spacing w:after="0"/>
              <w:rPr>
                <w:rFonts w:ascii="Arial" w:cs="Arial" w:eastAsia="Arial" w:hAnsi="Arial"/>
                <w:sz w:val="13"/>
                <w:szCs w:val="13"/>
                <w:b w:val="1"/>
                <w:bCs w:val="1"/>
                <w:color w:val="0000EE"/>
                <w:w w:val="95"/>
              </w:rPr>
            </w:pPr>
            <w:hyperlink w:anchor="page31">
              <w:r>
                <w:rPr>
                  <w:rFonts w:ascii="Arial" w:cs="Arial" w:eastAsia="Arial" w:hAnsi="Arial"/>
                  <w:sz w:val="13"/>
                  <w:szCs w:val="13"/>
                  <w:b w:val="1"/>
                  <w:bCs w:val="1"/>
                  <w:color w:val="0000EE"/>
                  <w:w w:val="95"/>
                </w:rPr>
                <w:t>CORPORATE GOVERNANCE</w:t>
              </w:r>
            </w:hyperlink>
          </w:p>
        </w:tc>
        <w:tc>
          <w:tcPr>
            <w:tcW w:w="20" w:type="dxa"/>
            <w:vAlign w:val="bottom"/>
            <w:tcBorders>
              <w:top w:val="single" w:sz="8" w:color="0000EE"/>
            </w:tcBorders>
          </w:tcPr>
          <w:p>
            <w:pPr>
              <w:spacing w:after="0"/>
              <w:rPr>
                <w:sz w:val="24"/>
                <w:szCs w:val="24"/>
                <w:color w:val="auto"/>
              </w:rPr>
            </w:pPr>
          </w:p>
        </w:tc>
        <w:tc>
          <w:tcPr>
            <w:tcW w:w="7240" w:type="dxa"/>
            <w:vAlign w:val="bottom"/>
            <w:gridSpan w:val="12"/>
          </w:tcPr>
          <w:p>
            <w:pPr>
              <w:spacing w:after="0"/>
              <w:rPr>
                <w:sz w:val="24"/>
                <w:szCs w:val="24"/>
                <w:color w:val="auto"/>
              </w:rPr>
            </w:pPr>
          </w:p>
        </w:tc>
        <w:tc>
          <w:tcPr>
            <w:tcW w:w="2140" w:type="dxa"/>
            <w:vAlign w:val="bottom"/>
            <w:gridSpan w:val="2"/>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3"/>
                <w:szCs w:val="13"/>
                <w:b w:val="1"/>
                <w:bCs w:val="1"/>
                <w:color w:val="0000EE"/>
                <w:w w:val="96"/>
              </w:rPr>
            </w:pPr>
            <w:hyperlink w:anchor="page31">
              <w:r>
                <w:rPr>
                  <w:rFonts w:ascii="Arial" w:cs="Arial" w:eastAsia="Arial" w:hAnsi="Arial"/>
                  <w:sz w:val="13"/>
                  <w:szCs w:val="13"/>
                  <w:b w:val="1"/>
                  <w:bCs w:val="1"/>
                  <w:color w:val="0000EE"/>
                  <w:w w:val="96"/>
                </w:rPr>
                <w:t>30</w:t>
              </w:r>
            </w:hyperlink>
          </w:p>
        </w:tc>
      </w:tr>
      <w:tr>
        <w:trPr>
          <w:trHeight w:val="282"/>
        </w:trPr>
        <w:tc>
          <w:tcPr>
            <w:tcW w:w="1040" w:type="dxa"/>
            <w:vAlign w:val="bottom"/>
            <w:tcBorders>
              <w:bottom w:val="single" w:sz="8" w:color="0000EE"/>
            </w:tcBorders>
            <w:gridSpan w:val="2"/>
          </w:tcPr>
          <w:p>
            <w:pPr>
              <w:spacing w:after="0"/>
              <w:rPr>
                <w:rFonts w:ascii="Arial" w:cs="Arial" w:eastAsia="Arial" w:hAnsi="Arial"/>
                <w:sz w:val="13"/>
                <w:szCs w:val="13"/>
                <w:b w:val="1"/>
                <w:bCs w:val="1"/>
                <w:color w:val="0000EE"/>
                <w:w w:val="94"/>
              </w:rPr>
            </w:pPr>
            <w:hyperlink w:anchor="page48">
              <w:r>
                <w:rPr>
                  <w:rFonts w:ascii="Arial" w:cs="Arial" w:eastAsia="Arial" w:hAnsi="Arial"/>
                  <w:sz w:val="13"/>
                  <w:szCs w:val="13"/>
                  <w:b w:val="1"/>
                  <w:bCs w:val="1"/>
                  <w:color w:val="0000EE"/>
                  <w:w w:val="94"/>
                </w:rPr>
                <w:t>SUSTAINABILITY</w:t>
              </w:r>
            </w:hyperlink>
          </w:p>
        </w:tc>
        <w:tc>
          <w:tcPr>
            <w:tcW w:w="7960" w:type="dxa"/>
            <w:vAlign w:val="bottom"/>
            <w:gridSpan w:val="17"/>
          </w:tcPr>
          <w:p>
            <w:pPr>
              <w:spacing w:after="0"/>
              <w:rPr>
                <w:sz w:val="24"/>
                <w:szCs w:val="24"/>
                <w:color w:val="auto"/>
              </w:rPr>
            </w:pPr>
          </w:p>
        </w:tc>
        <w:tc>
          <w:tcPr>
            <w:tcW w:w="2140" w:type="dxa"/>
            <w:vAlign w:val="bottom"/>
            <w:gridSpan w:val="2"/>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96"/>
              </w:rPr>
            </w:pPr>
            <w:hyperlink w:anchor="page48">
              <w:r>
                <w:rPr>
                  <w:rFonts w:ascii="Arial" w:cs="Arial" w:eastAsia="Arial" w:hAnsi="Arial"/>
                  <w:sz w:val="13"/>
                  <w:szCs w:val="13"/>
                  <w:b w:val="1"/>
                  <w:bCs w:val="1"/>
                  <w:color w:val="0000EE"/>
                  <w:w w:val="96"/>
                </w:rPr>
                <w:t>47</w:t>
              </w:r>
            </w:hyperlink>
          </w:p>
        </w:tc>
      </w:tr>
      <w:tr>
        <w:trPr>
          <w:trHeight w:val="282"/>
        </w:trPr>
        <w:tc>
          <w:tcPr>
            <w:tcW w:w="9000" w:type="dxa"/>
            <w:vAlign w:val="bottom"/>
            <w:gridSpan w:val="19"/>
          </w:tcPr>
          <w:p>
            <w:pPr>
              <w:spacing w:after="0"/>
              <w:rPr>
                <w:rFonts w:ascii="Arial" w:cs="Arial" w:eastAsia="Arial" w:hAnsi="Arial"/>
                <w:sz w:val="13"/>
                <w:szCs w:val="13"/>
                <w:b w:val="1"/>
                <w:bCs w:val="1"/>
                <w:color w:val="0000EE"/>
              </w:rPr>
            </w:pPr>
            <w:hyperlink w:anchor="page60">
              <w:r>
                <w:rPr>
                  <w:rFonts w:ascii="Arial" w:cs="Arial" w:eastAsia="Arial" w:hAnsi="Arial"/>
                  <w:sz w:val="13"/>
                  <w:szCs w:val="13"/>
                  <w:b w:val="1"/>
                  <w:bCs w:val="1"/>
                  <w:color w:val="0000EE"/>
                </w:rPr>
                <w:t>OUR EXECUTIVE OFFICERS</w:t>
              </w:r>
            </w:hyperlink>
          </w:p>
        </w:tc>
        <w:tc>
          <w:tcPr>
            <w:tcW w:w="2300" w:type="dxa"/>
            <w:vAlign w:val="bottom"/>
            <w:gridSpan w:val="4"/>
          </w:tcPr>
          <w:p>
            <w:pPr>
              <w:jc w:val="right"/>
              <w:spacing w:after="0"/>
              <w:rPr>
                <w:rFonts w:ascii="Arial" w:cs="Arial" w:eastAsia="Arial" w:hAnsi="Arial"/>
                <w:sz w:val="13"/>
                <w:szCs w:val="13"/>
                <w:b w:val="1"/>
                <w:bCs w:val="1"/>
                <w:color w:val="0000EE"/>
              </w:rPr>
            </w:pPr>
            <w:hyperlink w:anchor="page60">
              <w:r>
                <w:rPr>
                  <w:rFonts w:ascii="Arial" w:cs="Arial" w:eastAsia="Arial" w:hAnsi="Arial"/>
                  <w:sz w:val="13"/>
                  <w:szCs w:val="13"/>
                  <w:b w:val="1"/>
                  <w:bCs w:val="1"/>
                  <w:color w:val="0000EE"/>
                </w:rPr>
                <w:t>59</w:t>
              </w:r>
            </w:hyperlink>
          </w:p>
        </w:tc>
      </w:tr>
      <w:tr>
        <w:trPr>
          <w:trHeight w:val="20"/>
        </w:trPr>
        <w:tc>
          <w:tcPr>
            <w:tcW w:w="12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82"/>
        </w:trPr>
        <w:tc>
          <w:tcPr>
            <w:tcW w:w="1780" w:type="dxa"/>
            <w:vAlign w:val="bottom"/>
            <w:tcBorders>
              <w:bottom w:val="single" w:sz="8" w:color="0000EE"/>
            </w:tcBorders>
            <w:gridSpan w:val="8"/>
          </w:tcPr>
          <w:p>
            <w:pPr>
              <w:spacing w:after="0"/>
              <w:rPr>
                <w:rFonts w:ascii="Arial" w:cs="Arial" w:eastAsia="Arial" w:hAnsi="Arial"/>
                <w:sz w:val="13"/>
                <w:szCs w:val="13"/>
                <w:b w:val="1"/>
                <w:bCs w:val="1"/>
                <w:color w:val="0000EE"/>
                <w:w w:val="95"/>
              </w:rPr>
            </w:pPr>
            <w:hyperlink w:anchor="page62">
              <w:r>
                <w:rPr>
                  <w:rFonts w:ascii="Arial" w:cs="Arial" w:eastAsia="Arial" w:hAnsi="Arial"/>
                  <w:sz w:val="13"/>
                  <w:szCs w:val="13"/>
                  <w:b w:val="1"/>
                  <w:bCs w:val="1"/>
                  <w:color w:val="0000EE"/>
                  <w:w w:val="95"/>
                </w:rPr>
                <w:t>EXECUTIVE COMPENSATION</w:t>
              </w:r>
            </w:hyperlink>
          </w:p>
        </w:tc>
        <w:tc>
          <w:tcPr>
            <w:tcW w:w="7220" w:type="dxa"/>
            <w:vAlign w:val="bottom"/>
            <w:gridSpan w:val="11"/>
          </w:tcPr>
          <w:p>
            <w:pPr>
              <w:spacing w:after="0"/>
              <w:rPr>
                <w:sz w:val="24"/>
                <w:szCs w:val="24"/>
                <w:color w:val="auto"/>
              </w:rPr>
            </w:pPr>
          </w:p>
        </w:tc>
        <w:tc>
          <w:tcPr>
            <w:tcW w:w="2140" w:type="dxa"/>
            <w:vAlign w:val="bottom"/>
            <w:gridSpan w:val="2"/>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96"/>
              </w:rPr>
            </w:pPr>
            <w:hyperlink w:anchor="page62">
              <w:r>
                <w:rPr>
                  <w:rFonts w:ascii="Arial" w:cs="Arial" w:eastAsia="Arial" w:hAnsi="Arial"/>
                  <w:sz w:val="13"/>
                  <w:szCs w:val="13"/>
                  <w:b w:val="1"/>
                  <w:bCs w:val="1"/>
                  <w:color w:val="0000EE"/>
                  <w:w w:val="96"/>
                </w:rPr>
                <w:t>61</w:t>
              </w:r>
            </w:hyperlink>
          </w:p>
        </w:tc>
      </w:tr>
      <w:tr>
        <w:trPr>
          <w:trHeight w:val="282"/>
        </w:trPr>
        <w:tc>
          <w:tcPr>
            <w:tcW w:w="12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3"/>
                <w:szCs w:val="13"/>
                <w:color w:val="0000EE"/>
              </w:rPr>
            </w:pPr>
            <w:hyperlink w:anchor="page62">
              <w:r>
                <w:rPr>
                  <w:rFonts w:ascii="Arial" w:cs="Arial" w:eastAsia="Arial" w:hAnsi="Arial"/>
                  <w:sz w:val="13"/>
                  <w:szCs w:val="13"/>
                  <w:color w:val="0000EE"/>
                </w:rPr>
                <w:t>Compensation Discussion and Analysis</w:t>
              </w:r>
            </w:hyperlink>
          </w:p>
        </w:tc>
        <w:tc>
          <w:tcPr>
            <w:tcW w:w="2300" w:type="dxa"/>
            <w:vAlign w:val="bottom"/>
            <w:gridSpan w:val="4"/>
          </w:tcPr>
          <w:p>
            <w:pPr>
              <w:jc w:val="right"/>
              <w:spacing w:after="0"/>
              <w:rPr>
                <w:rFonts w:ascii="Arial" w:cs="Arial" w:eastAsia="Arial" w:hAnsi="Arial"/>
                <w:sz w:val="13"/>
                <w:szCs w:val="13"/>
                <w:b w:val="1"/>
                <w:bCs w:val="1"/>
                <w:color w:val="0000EE"/>
              </w:rPr>
            </w:pPr>
            <w:hyperlink w:anchor="page62">
              <w:r>
                <w:rPr>
                  <w:rFonts w:ascii="Arial" w:cs="Arial" w:eastAsia="Arial" w:hAnsi="Arial"/>
                  <w:sz w:val="13"/>
                  <w:szCs w:val="13"/>
                  <w:b w:val="1"/>
                  <w:bCs w:val="1"/>
                  <w:color w:val="0000EE"/>
                </w:rPr>
                <w:t>61</w:t>
              </w:r>
            </w:hyperlink>
          </w:p>
        </w:tc>
      </w:tr>
      <w:tr>
        <w:trPr>
          <w:trHeight w:val="282"/>
        </w:trPr>
        <w:tc>
          <w:tcPr>
            <w:tcW w:w="120" w:type="dxa"/>
            <w:vAlign w:val="bottom"/>
          </w:tcPr>
          <w:p>
            <w:pPr>
              <w:spacing w:after="0"/>
              <w:rPr>
                <w:sz w:val="24"/>
                <w:szCs w:val="24"/>
                <w:color w:val="auto"/>
              </w:rPr>
            </w:pPr>
          </w:p>
        </w:tc>
        <w:tc>
          <w:tcPr>
            <w:tcW w:w="2220" w:type="dxa"/>
            <w:vAlign w:val="bottom"/>
            <w:tcBorders>
              <w:top w:val="single" w:sz="8" w:color="0000EE"/>
            </w:tcBorders>
            <w:gridSpan w:val="10"/>
          </w:tcPr>
          <w:p>
            <w:pPr>
              <w:spacing w:after="0"/>
              <w:rPr>
                <w:rFonts w:ascii="Arial" w:cs="Arial" w:eastAsia="Arial" w:hAnsi="Arial"/>
                <w:sz w:val="13"/>
                <w:szCs w:val="13"/>
                <w:color w:val="0000EE"/>
              </w:rPr>
            </w:pPr>
            <w:hyperlink w:anchor="page86">
              <w:r>
                <w:rPr>
                  <w:rFonts w:ascii="Arial" w:cs="Arial" w:eastAsia="Arial" w:hAnsi="Arial"/>
                  <w:sz w:val="13"/>
                  <w:szCs w:val="13"/>
                  <w:color w:val="0000EE"/>
                </w:rPr>
                <w:t>Compensation Committee Report</w:t>
              </w:r>
            </w:hyperlink>
          </w:p>
        </w:tc>
        <w:tc>
          <w:tcPr>
            <w:tcW w:w="6660" w:type="dxa"/>
            <w:vAlign w:val="bottom"/>
            <w:gridSpan w:val="8"/>
          </w:tcPr>
          <w:p>
            <w:pPr>
              <w:spacing w:after="0"/>
              <w:rPr>
                <w:sz w:val="24"/>
                <w:szCs w:val="24"/>
                <w:color w:val="auto"/>
              </w:rPr>
            </w:pPr>
          </w:p>
        </w:tc>
        <w:tc>
          <w:tcPr>
            <w:tcW w:w="2140" w:type="dxa"/>
            <w:vAlign w:val="bottom"/>
            <w:gridSpan w:val="2"/>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3"/>
                <w:szCs w:val="13"/>
                <w:b w:val="1"/>
                <w:bCs w:val="1"/>
                <w:color w:val="0000EE"/>
                <w:w w:val="96"/>
              </w:rPr>
            </w:pPr>
            <w:hyperlink w:anchor="page86">
              <w:r>
                <w:rPr>
                  <w:rFonts w:ascii="Arial" w:cs="Arial" w:eastAsia="Arial" w:hAnsi="Arial"/>
                  <w:sz w:val="13"/>
                  <w:szCs w:val="13"/>
                  <w:b w:val="1"/>
                  <w:bCs w:val="1"/>
                  <w:color w:val="0000EE"/>
                  <w:w w:val="96"/>
                </w:rPr>
                <w:t>85</w:t>
              </w:r>
            </w:hyperlink>
          </w:p>
        </w:tc>
      </w:tr>
      <w:tr>
        <w:trPr>
          <w:trHeight w:val="20"/>
        </w:trPr>
        <w:tc>
          <w:tcPr>
            <w:tcW w:w="120" w:type="dxa"/>
            <w:vAlign w:val="bottom"/>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82"/>
        </w:trPr>
        <w:tc>
          <w:tcPr>
            <w:tcW w:w="120" w:type="dxa"/>
            <w:vAlign w:val="bottom"/>
          </w:tcPr>
          <w:p>
            <w:pPr>
              <w:spacing w:after="0"/>
              <w:rPr>
                <w:sz w:val="24"/>
                <w:szCs w:val="24"/>
                <w:color w:val="auto"/>
              </w:rPr>
            </w:pPr>
          </w:p>
        </w:tc>
        <w:tc>
          <w:tcPr>
            <w:tcW w:w="2900" w:type="dxa"/>
            <w:vAlign w:val="bottom"/>
            <w:tcBorders>
              <w:bottom w:val="single" w:sz="8" w:color="0000EE"/>
            </w:tcBorders>
            <w:gridSpan w:val="12"/>
          </w:tcPr>
          <w:p>
            <w:pPr>
              <w:spacing w:after="0"/>
              <w:rPr>
                <w:rFonts w:ascii="Arial" w:cs="Arial" w:eastAsia="Arial" w:hAnsi="Arial"/>
                <w:sz w:val="13"/>
                <w:szCs w:val="13"/>
                <w:color w:val="0000EE"/>
                <w:w w:val="96"/>
              </w:rPr>
            </w:pPr>
            <w:hyperlink w:anchor="page87">
              <w:r>
                <w:rPr>
                  <w:rFonts w:ascii="Arial" w:cs="Arial" w:eastAsia="Arial" w:hAnsi="Arial"/>
                  <w:sz w:val="13"/>
                  <w:szCs w:val="13"/>
                  <w:color w:val="0000EE"/>
                  <w:w w:val="96"/>
                </w:rPr>
                <w:t>Summary Compensation Table for Fiscal Year 2020</w:t>
              </w:r>
            </w:hyperlink>
          </w:p>
        </w:tc>
        <w:tc>
          <w:tcPr>
            <w:tcW w:w="5980" w:type="dxa"/>
            <w:vAlign w:val="bottom"/>
            <w:gridSpan w:val="6"/>
          </w:tcPr>
          <w:p>
            <w:pPr>
              <w:spacing w:after="0"/>
              <w:rPr>
                <w:sz w:val="24"/>
                <w:szCs w:val="24"/>
                <w:color w:val="auto"/>
              </w:rPr>
            </w:pPr>
          </w:p>
        </w:tc>
        <w:tc>
          <w:tcPr>
            <w:tcW w:w="2140" w:type="dxa"/>
            <w:vAlign w:val="bottom"/>
            <w:gridSpan w:val="2"/>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96"/>
              </w:rPr>
            </w:pPr>
            <w:hyperlink w:anchor="page87">
              <w:r>
                <w:rPr>
                  <w:rFonts w:ascii="Arial" w:cs="Arial" w:eastAsia="Arial" w:hAnsi="Arial"/>
                  <w:sz w:val="13"/>
                  <w:szCs w:val="13"/>
                  <w:b w:val="1"/>
                  <w:bCs w:val="1"/>
                  <w:color w:val="0000EE"/>
                  <w:w w:val="96"/>
                </w:rPr>
                <w:t>86</w:t>
              </w:r>
            </w:hyperlink>
          </w:p>
        </w:tc>
      </w:tr>
      <w:tr>
        <w:trPr>
          <w:trHeight w:val="282"/>
        </w:trPr>
        <w:tc>
          <w:tcPr>
            <w:tcW w:w="6000" w:type="dxa"/>
            <w:vAlign w:val="bottom"/>
            <w:gridSpan w:val="17"/>
          </w:tcPr>
          <w:p>
            <w:pPr>
              <w:spacing w:after="0"/>
              <w:rPr>
                <w:rFonts w:ascii="Arial" w:cs="Arial" w:eastAsia="Arial" w:hAnsi="Arial"/>
                <w:sz w:val="13"/>
                <w:szCs w:val="13"/>
                <w:b w:val="1"/>
                <w:bCs w:val="1"/>
                <w:color w:val="0000EE"/>
                <w:w w:val="96"/>
              </w:rPr>
            </w:pPr>
            <w:hyperlink w:anchor="page107">
              <w:r>
                <w:rPr>
                  <w:rFonts w:ascii="Arial" w:cs="Arial" w:eastAsia="Arial" w:hAnsi="Arial"/>
                  <w:sz w:val="13"/>
                  <w:szCs w:val="13"/>
                  <w:b w:val="1"/>
                  <w:bCs w:val="1"/>
                  <w:color w:val="0000EE"/>
                  <w:w w:val="96"/>
                </w:rPr>
                <w:t>STOCK OWNERSHIP OF DIRECTORS, EXECUTIVE OFFICERS AND CERTAIN BENEFICIAL OWNERS</w:t>
              </w:r>
            </w:hyperlink>
          </w:p>
        </w:tc>
        <w:tc>
          <w:tcPr>
            <w:tcW w:w="3000" w:type="dxa"/>
            <w:vAlign w:val="bottom"/>
            <w:gridSpan w:val="2"/>
          </w:tcPr>
          <w:p>
            <w:pPr>
              <w:spacing w:after="0"/>
              <w:rPr>
                <w:sz w:val="24"/>
                <w:szCs w:val="24"/>
                <w:color w:val="auto"/>
              </w:rPr>
            </w:pPr>
          </w:p>
        </w:tc>
        <w:tc>
          <w:tcPr>
            <w:tcW w:w="2300" w:type="dxa"/>
            <w:vAlign w:val="bottom"/>
            <w:gridSpan w:val="4"/>
          </w:tcPr>
          <w:p>
            <w:pPr>
              <w:jc w:val="right"/>
              <w:spacing w:after="0"/>
              <w:rPr>
                <w:rFonts w:ascii="Arial" w:cs="Arial" w:eastAsia="Arial" w:hAnsi="Arial"/>
                <w:sz w:val="13"/>
                <w:szCs w:val="13"/>
                <w:b w:val="1"/>
                <w:bCs w:val="1"/>
                <w:color w:val="0000EE"/>
              </w:rPr>
            </w:pPr>
            <w:hyperlink w:anchor="page107">
              <w:r>
                <w:rPr>
                  <w:rFonts w:ascii="Arial" w:cs="Arial" w:eastAsia="Arial" w:hAnsi="Arial"/>
                  <w:sz w:val="13"/>
                  <w:szCs w:val="13"/>
                  <w:b w:val="1"/>
                  <w:bCs w:val="1"/>
                  <w:color w:val="0000EE"/>
                </w:rPr>
                <w:t>106</w:t>
              </w:r>
            </w:hyperlink>
          </w:p>
        </w:tc>
      </w:tr>
      <w:tr>
        <w:trPr>
          <w:trHeight w:val="20"/>
        </w:trPr>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r>
      <w:tr>
        <w:trPr>
          <w:trHeight w:val="282"/>
        </w:trPr>
        <w:tc>
          <w:tcPr>
            <w:tcW w:w="6000" w:type="dxa"/>
            <w:vAlign w:val="bottom"/>
            <w:gridSpan w:val="17"/>
          </w:tcPr>
          <w:p>
            <w:pPr>
              <w:spacing w:after="0"/>
              <w:rPr>
                <w:rFonts w:ascii="Arial" w:cs="Arial" w:eastAsia="Arial" w:hAnsi="Arial"/>
                <w:sz w:val="13"/>
                <w:szCs w:val="13"/>
                <w:b w:val="1"/>
                <w:bCs w:val="1"/>
                <w:color w:val="0000EE"/>
              </w:rPr>
            </w:pPr>
            <w:hyperlink w:anchor="page109">
              <w:r>
                <w:rPr>
                  <w:rFonts w:ascii="Arial" w:cs="Arial" w:eastAsia="Arial" w:hAnsi="Arial"/>
                  <w:sz w:val="13"/>
                  <w:szCs w:val="13"/>
                  <w:b w:val="1"/>
                  <w:bCs w:val="1"/>
                  <w:color w:val="0000EE"/>
                </w:rPr>
                <w:t>CERTAIN RELATIONSHIPS AND RELATED PERSON TRANSACTIONS</w:t>
              </w:r>
            </w:hyperlink>
          </w:p>
        </w:tc>
        <w:tc>
          <w:tcPr>
            <w:tcW w:w="3000" w:type="dxa"/>
            <w:vAlign w:val="bottom"/>
            <w:gridSpan w:val="2"/>
          </w:tcPr>
          <w:p>
            <w:pPr>
              <w:spacing w:after="0"/>
              <w:rPr>
                <w:sz w:val="24"/>
                <w:szCs w:val="24"/>
                <w:color w:val="auto"/>
              </w:rPr>
            </w:pPr>
          </w:p>
        </w:tc>
        <w:tc>
          <w:tcPr>
            <w:tcW w:w="2300" w:type="dxa"/>
            <w:vAlign w:val="bottom"/>
            <w:gridSpan w:val="4"/>
          </w:tcPr>
          <w:p>
            <w:pPr>
              <w:jc w:val="right"/>
              <w:spacing w:after="0"/>
              <w:rPr>
                <w:rFonts w:ascii="Arial" w:cs="Arial" w:eastAsia="Arial" w:hAnsi="Arial"/>
                <w:sz w:val="13"/>
                <w:szCs w:val="13"/>
                <w:b w:val="1"/>
                <w:bCs w:val="1"/>
                <w:color w:val="0000EE"/>
              </w:rPr>
            </w:pPr>
            <w:hyperlink w:anchor="page109">
              <w:r>
                <w:rPr>
                  <w:rFonts w:ascii="Arial" w:cs="Arial" w:eastAsia="Arial" w:hAnsi="Arial"/>
                  <w:sz w:val="13"/>
                  <w:szCs w:val="13"/>
                  <w:b w:val="1"/>
                  <w:bCs w:val="1"/>
                  <w:color w:val="0000EE"/>
                </w:rPr>
                <w:t>108</w:t>
              </w:r>
            </w:hyperlink>
          </w:p>
        </w:tc>
      </w:tr>
      <w:tr>
        <w:trPr>
          <w:trHeight w:val="20"/>
        </w:trPr>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r>
      <w:tr>
        <w:trPr>
          <w:trHeight w:val="282"/>
        </w:trPr>
        <w:tc>
          <w:tcPr>
            <w:tcW w:w="1740" w:type="dxa"/>
            <w:vAlign w:val="bottom"/>
            <w:gridSpan w:val="6"/>
          </w:tcPr>
          <w:p>
            <w:pPr>
              <w:spacing w:after="0"/>
              <w:rPr>
                <w:rFonts w:ascii="Arial" w:cs="Arial" w:eastAsia="Arial" w:hAnsi="Arial"/>
                <w:sz w:val="13"/>
                <w:szCs w:val="13"/>
                <w:b w:val="1"/>
                <w:bCs w:val="1"/>
                <w:color w:val="0000EE"/>
                <w:w w:val="95"/>
              </w:rPr>
            </w:pPr>
            <w:hyperlink w:anchor="page110">
              <w:r>
                <w:rPr>
                  <w:rFonts w:ascii="Arial" w:cs="Arial" w:eastAsia="Arial" w:hAnsi="Arial"/>
                  <w:sz w:val="13"/>
                  <w:szCs w:val="13"/>
                  <w:b w:val="1"/>
                  <w:bCs w:val="1"/>
                  <w:color w:val="0000EE"/>
                  <w:w w:val="95"/>
                </w:rPr>
                <w:t>AUDIT COMMITTEE REPORT</w:t>
              </w:r>
            </w:hyperlink>
          </w:p>
        </w:tc>
        <w:tc>
          <w:tcPr>
            <w:tcW w:w="2400" w:type="dxa"/>
            <w:vAlign w:val="bottom"/>
            <w:gridSpan w:val="8"/>
          </w:tcPr>
          <w:p>
            <w:pPr>
              <w:spacing w:after="0"/>
              <w:rPr>
                <w:sz w:val="24"/>
                <w:szCs w:val="24"/>
                <w:color w:val="auto"/>
              </w:rPr>
            </w:pPr>
          </w:p>
        </w:tc>
        <w:tc>
          <w:tcPr>
            <w:tcW w:w="4860" w:type="dxa"/>
            <w:vAlign w:val="bottom"/>
            <w:gridSpan w:val="5"/>
          </w:tcPr>
          <w:p>
            <w:pPr>
              <w:spacing w:after="0"/>
              <w:rPr>
                <w:sz w:val="24"/>
                <w:szCs w:val="24"/>
                <w:color w:val="auto"/>
              </w:rPr>
            </w:pPr>
          </w:p>
        </w:tc>
        <w:tc>
          <w:tcPr>
            <w:tcW w:w="2300" w:type="dxa"/>
            <w:vAlign w:val="bottom"/>
            <w:gridSpan w:val="4"/>
          </w:tcPr>
          <w:p>
            <w:pPr>
              <w:jc w:val="right"/>
              <w:spacing w:after="0"/>
              <w:rPr>
                <w:rFonts w:ascii="Arial" w:cs="Arial" w:eastAsia="Arial" w:hAnsi="Arial"/>
                <w:sz w:val="13"/>
                <w:szCs w:val="13"/>
                <w:b w:val="1"/>
                <w:bCs w:val="1"/>
                <w:color w:val="0000EE"/>
              </w:rPr>
            </w:pPr>
            <w:hyperlink w:anchor="page110">
              <w:r>
                <w:rPr>
                  <w:rFonts w:ascii="Arial" w:cs="Arial" w:eastAsia="Arial" w:hAnsi="Arial"/>
                  <w:sz w:val="13"/>
                  <w:szCs w:val="13"/>
                  <w:b w:val="1"/>
                  <w:bCs w:val="1"/>
                  <w:color w:val="0000EE"/>
                </w:rPr>
                <w:t>109</w:t>
              </w:r>
            </w:hyperlink>
          </w:p>
        </w:tc>
      </w:tr>
      <w:tr>
        <w:trPr>
          <w:trHeight w:val="20"/>
        </w:trPr>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r>
      <w:tr>
        <w:trPr>
          <w:trHeight w:val="282"/>
        </w:trPr>
        <w:tc>
          <w:tcPr>
            <w:tcW w:w="2640" w:type="dxa"/>
            <w:vAlign w:val="bottom"/>
            <w:gridSpan w:val="12"/>
          </w:tcPr>
          <w:p>
            <w:pPr>
              <w:spacing w:after="0"/>
              <w:rPr>
                <w:rFonts w:ascii="Arial" w:cs="Arial" w:eastAsia="Arial" w:hAnsi="Arial"/>
                <w:sz w:val="13"/>
                <w:szCs w:val="13"/>
                <w:b w:val="1"/>
                <w:bCs w:val="1"/>
                <w:color w:val="0000EE"/>
                <w:w w:val="96"/>
              </w:rPr>
            </w:pPr>
            <w:hyperlink w:anchor="page111">
              <w:r>
                <w:rPr>
                  <w:rFonts w:ascii="Arial" w:cs="Arial" w:eastAsia="Arial" w:hAnsi="Arial"/>
                  <w:sz w:val="13"/>
                  <w:szCs w:val="13"/>
                  <w:b w:val="1"/>
                  <w:bCs w:val="1"/>
                  <w:color w:val="0000EE"/>
                  <w:w w:val="96"/>
                </w:rPr>
                <w:t>PROPOSAL 1 — ELECTION OF DIRECTORS</w:t>
              </w:r>
            </w:hyperlink>
          </w:p>
        </w:tc>
        <w:tc>
          <w:tcPr>
            <w:tcW w:w="6360" w:type="dxa"/>
            <w:vAlign w:val="bottom"/>
            <w:gridSpan w:val="7"/>
          </w:tcPr>
          <w:p>
            <w:pPr>
              <w:spacing w:after="0"/>
              <w:rPr>
                <w:sz w:val="24"/>
                <w:szCs w:val="24"/>
                <w:color w:val="auto"/>
              </w:rPr>
            </w:pPr>
          </w:p>
        </w:tc>
        <w:tc>
          <w:tcPr>
            <w:tcW w:w="2300" w:type="dxa"/>
            <w:vAlign w:val="bottom"/>
            <w:gridSpan w:val="4"/>
          </w:tcPr>
          <w:p>
            <w:pPr>
              <w:jc w:val="right"/>
              <w:spacing w:after="0"/>
              <w:rPr>
                <w:rFonts w:ascii="Arial" w:cs="Arial" w:eastAsia="Arial" w:hAnsi="Arial"/>
                <w:sz w:val="13"/>
                <w:szCs w:val="13"/>
                <w:b w:val="1"/>
                <w:bCs w:val="1"/>
                <w:color w:val="0000EE"/>
              </w:rPr>
            </w:pPr>
            <w:hyperlink w:anchor="page111">
              <w:r>
                <w:rPr>
                  <w:rFonts w:ascii="Arial" w:cs="Arial" w:eastAsia="Arial" w:hAnsi="Arial"/>
                  <w:sz w:val="13"/>
                  <w:szCs w:val="13"/>
                  <w:b w:val="1"/>
                  <w:bCs w:val="1"/>
                  <w:color w:val="0000EE"/>
                </w:rPr>
                <w:t>110</w:t>
              </w:r>
            </w:hyperlink>
          </w:p>
        </w:tc>
      </w:tr>
      <w:tr>
        <w:trPr>
          <w:trHeight w:val="20"/>
        </w:trPr>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r>
      <w:tr>
        <w:trPr>
          <w:trHeight w:val="282"/>
        </w:trPr>
        <w:tc>
          <w:tcPr>
            <w:tcW w:w="9000" w:type="dxa"/>
            <w:vAlign w:val="bottom"/>
            <w:gridSpan w:val="19"/>
          </w:tcPr>
          <w:p>
            <w:pPr>
              <w:spacing w:after="0"/>
              <w:rPr>
                <w:rFonts w:ascii="Arial" w:cs="Arial" w:eastAsia="Arial" w:hAnsi="Arial"/>
                <w:sz w:val="13"/>
                <w:szCs w:val="13"/>
                <w:b w:val="1"/>
                <w:bCs w:val="1"/>
                <w:color w:val="0000EE"/>
              </w:rPr>
            </w:pPr>
            <w:hyperlink w:anchor="page113">
              <w:r>
                <w:rPr>
                  <w:rFonts w:ascii="Arial" w:cs="Arial" w:eastAsia="Arial" w:hAnsi="Arial"/>
                  <w:sz w:val="13"/>
                  <w:szCs w:val="13"/>
                  <w:b w:val="1"/>
                  <w:bCs w:val="1"/>
                  <w:color w:val="0000EE"/>
                </w:rPr>
                <w:t>PROPOSAL 2 — RATIFICATION OF THE APPOINTMENT OF INDEPENDENT REGISTERED PUBLIC ACCOUNTING FIRM</w:t>
              </w:r>
            </w:hyperlink>
          </w:p>
        </w:tc>
        <w:tc>
          <w:tcPr>
            <w:tcW w:w="2300" w:type="dxa"/>
            <w:vAlign w:val="bottom"/>
            <w:gridSpan w:val="4"/>
          </w:tcPr>
          <w:p>
            <w:pPr>
              <w:jc w:val="right"/>
              <w:spacing w:after="0"/>
              <w:rPr>
                <w:rFonts w:ascii="Arial" w:cs="Arial" w:eastAsia="Arial" w:hAnsi="Arial"/>
                <w:sz w:val="13"/>
                <w:szCs w:val="13"/>
                <w:b w:val="1"/>
                <w:bCs w:val="1"/>
                <w:color w:val="0000EE"/>
              </w:rPr>
            </w:pPr>
            <w:hyperlink w:anchor="page113">
              <w:r>
                <w:rPr>
                  <w:rFonts w:ascii="Arial" w:cs="Arial" w:eastAsia="Arial" w:hAnsi="Arial"/>
                  <w:sz w:val="13"/>
                  <w:szCs w:val="13"/>
                  <w:b w:val="1"/>
                  <w:bCs w:val="1"/>
                  <w:color w:val="0000EE"/>
                </w:rPr>
                <w:t>112</w:t>
              </w:r>
            </w:hyperlink>
          </w:p>
        </w:tc>
      </w:tr>
      <w:tr>
        <w:trPr>
          <w:trHeight w:val="20"/>
        </w:trPr>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0" w:type="dxa"/>
            <w:vAlign w:val="bottom"/>
            <w:gridSpan w:val="11"/>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r>
      <w:tr>
        <w:trPr>
          <w:trHeight w:val="282"/>
        </w:trPr>
        <w:tc>
          <w:tcPr>
            <w:tcW w:w="5060" w:type="dxa"/>
            <w:vAlign w:val="bottom"/>
            <w:gridSpan w:val="15"/>
          </w:tcPr>
          <w:p>
            <w:pPr>
              <w:spacing w:after="0"/>
              <w:rPr>
                <w:rFonts w:ascii="Arial" w:cs="Arial" w:eastAsia="Arial" w:hAnsi="Arial"/>
                <w:sz w:val="13"/>
                <w:szCs w:val="13"/>
                <w:b w:val="1"/>
                <w:bCs w:val="1"/>
                <w:color w:val="0000EE"/>
                <w:w w:val="96"/>
              </w:rPr>
            </w:pPr>
            <w:hyperlink w:anchor="page115">
              <w:r>
                <w:rPr>
                  <w:rFonts w:ascii="Arial" w:cs="Arial" w:eastAsia="Arial" w:hAnsi="Arial"/>
                  <w:sz w:val="13"/>
                  <w:szCs w:val="13"/>
                  <w:b w:val="1"/>
                  <w:bCs w:val="1"/>
                  <w:color w:val="0000EE"/>
                  <w:w w:val="96"/>
                </w:rPr>
                <w:t>PROPOSAL 3 — ADVISORY (NON-BINDING) VOTE ON EXECUTIVE COMPENSATION</w:t>
              </w:r>
            </w:hyperlink>
          </w:p>
        </w:tc>
        <w:tc>
          <w:tcPr>
            <w:tcW w:w="2020" w:type="dxa"/>
            <w:vAlign w:val="bottom"/>
            <w:gridSpan w:val="3"/>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gridSpan w:val="4"/>
          </w:tcPr>
          <w:p>
            <w:pPr>
              <w:jc w:val="right"/>
              <w:spacing w:after="0"/>
              <w:rPr>
                <w:rFonts w:ascii="Arial" w:cs="Arial" w:eastAsia="Arial" w:hAnsi="Arial"/>
                <w:sz w:val="13"/>
                <w:szCs w:val="13"/>
                <w:b w:val="1"/>
                <w:bCs w:val="1"/>
                <w:color w:val="0000EE"/>
              </w:rPr>
            </w:pPr>
            <w:hyperlink w:anchor="page115">
              <w:r>
                <w:rPr>
                  <w:rFonts w:ascii="Arial" w:cs="Arial" w:eastAsia="Arial" w:hAnsi="Arial"/>
                  <w:sz w:val="13"/>
                  <w:szCs w:val="13"/>
                  <w:b w:val="1"/>
                  <w:bCs w:val="1"/>
                  <w:color w:val="0000EE"/>
                </w:rPr>
                <w:t>114</w:t>
              </w:r>
            </w:hyperlink>
          </w:p>
        </w:tc>
      </w:tr>
      <w:tr>
        <w:trPr>
          <w:trHeight w:val="20"/>
        </w:trPr>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0" w:type="dxa"/>
            <w:vAlign w:val="bottom"/>
            <w:gridSpan w:val="11"/>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r>
      <w:tr>
        <w:trPr>
          <w:trHeight w:val="282"/>
        </w:trPr>
        <w:tc>
          <w:tcPr>
            <w:tcW w:w="5820" w:type="dxa"/>
            <w:vAlign w:val="bottom"/>
            <w:gridSpan w:val="16"/>
          </w:tcPr>
          <w:p>
            <w:pPr>
              <w:spacing w:after="0"/>
              <w:rPr>
                <w:rFonts w:ascii="Arial" w:cs="Arial" w:eastAsia="Arial" w:hAnsi="Arial"/>
                <w:sz w:val="13"/>
                <w:szCs w:val="13"/>
                <w:b w:val="1"/>
                <w:bCs w:val="1"/>
                <w:color w:val="0000EE"/>
                <w:w w:val="96"/>
              </w:rPr>
            </w:pPr>
            <w:hyperlink w:anchor="page116">
              <w:r>
                <w:rPr>
                  <w:rFonts w:ascii="Arial" w:cs="Arial" w:eastAsia="Arial" w:hAnsi="Arial"/>
                  <w:sz w:val="13"/>
                  <w:szCs w:val="13"/>
                  <w:b w:val="1"/>
                  <w:bCs w:val="1"/>
                  <w:color w:val="0000EE"/>
                  <w:w w:val="96"/>
                </w:rPr>
                <w:t>STOCKHOLDER PROPOSALS AND DIRECTOR NOMINATIONS FOR THE 2022 ANNUAL MEETING</w:t>
              </w:r>
            </w:hyperlink>
          </w:p>
        </w:tc>
        <w:tc>
          <w:tcPr>
            <w:tcW w:w="3180" w:type="dxa"/>
            <w:vAlign w:val="bottom"/>
            <w:gridSpan w:val="3"/>
          </w:tcPr>
          <w:p>
            <w:pPr>
              <w:spacing w:after="0"/>
              <w:rPr>
                <w:sz w:val="24"/>
                <w:szCs w:val="24"/>
                <w:color w:val="auto"/>
              </w:rPr>
            </w:pPr>
          </w:p>
        </w:tc>
        <w:tc>
          <w:tcPr>
            <w:tcW w:w="2300" w:type="dxa"/>
            <w:vAlign w:val="bottom"/>
            <w:gridSpan w:val="4"/>
          </w:tcPr>
          <w:p>
            <w:pPr>
              <w:jc w:val="right"/>
              <w:spacing w:after="0"/>
              <w:rPr>
                <w:rFonts w:ascii="Arial" w:cs="Arial" w:eastAsia="Arial" w:hAnsi="Arial"/>
                <w:sz w:val="13"/>
                <w:szCs w:val="13"/>
                <w:b w:val="1"/>
                <w:bCs w:val="1"/>
                <w:color w:val="0000EE"/>
              </w:rPr>
            </w:pPr>
            <w:hyperlink w:anchor="page116">
              <w:r>
                <w:rPr>
                  <w:rFonts w:ascii="Arial" w:cs="Arial" w:eastAsia="Arial" w:hAnsi="Arial"/>
                  <w:sz w:val="13"/>
                  <w:szCs w:val="13"/>
                  <w:b w:val="1"/>
                  <w:bCs w:val="1"/>
                  <w:color w:val="0000EE"/>
                </w:rPr>
                <w:t>115</w:t>
              </w:r>
            </w:hyperlink>
          </w:p>
        </w:tc>
      </w:tr>
      <w:tr>
        <w:trPr>
          <w:trHeight w:val="20"/>
        </w:trPr>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360" w:type="dxa"/>
            <w:vAlign w:val="bottom"/>
            <w:gridSpan w:val="12"/>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r>
      <w:tr>
        <w:trPr>
          <w:trHeight w:val="282"/>
        </w:trPr>
        <w:tc>
          <w:tcPr>
            <w:tcW w:w="1100" w:type="dxa"/>
            <w:vAlign w:val="bottom"/>
            <w:gridSpan w:val="3"/>
          </w:tcPr>
          <w:p>
            <w:pPr>
              <w:spacing w:after="0"/>
              <w:rPr>
                <w:rFonts w:ascii="Arial" w:cs="Arial" w:eastAsia="Arial" w:hAnsi="Arial"/>
                <w:sz w:val="13"/>
                <w:szCs w:val="13"/>
                <w:b w:val="1"/>
                <w:bCs w:val="1"/>
                <w:color w:val="0000EE"/>
                <w:w w:val="94"/>
              </w:rPr>
            </w:pPr>
            <w:hyperlink w:anchor="page117">
              <w:r>
                <w:rPr>
                  <w:rFonts w:ascii="Arial" w:cs="Arial" w:eastAsia="Arial" w:hAnsi="Arial"/>
                  <w:sz w:val="13"/>
                  <w:szCs w:val="13"/>
                  <w:b w:val="1"/>
                  <w:bCs w:val="1"/>
                  <w:color w:val="0000EE"/>
                  <w:w w:val="94"/>
                </w:rPr>
                <w:t>MISCELLANEOUS</w:t>
              </w:r>
            </w:hyperlink>
          </w:p>
        </w:tc>
        <w:tc>
          <w:tcPr>
            <w:tcW w:w="4720" w:type="dxa"/>
            <w:vAlign w:val="bottom"/>
            <w:gridSpan w:val="13"/>
          </w:tcPr>
          <w:p>
            <w:pPr>
              <w:spacing w:after="0"/>
              <w:rPr>
                <w:sz w:val="24"/>
                <w:szCs w:val="24"/>
                <w:color w:val="auto"/>
              </w:rPr>
            </w:pPr>
          </w:p>
        </w:tc>
        <w:tc>
          <w:tcPr>
            <w:tcW w:w="3180" w:type="dxa"/>
            <w:vAlign w:val="bottom"/>
            <w:gridSpan w:val="3"/>
          </w:tcPr>
          <w:p>
            <w:pPr>
              <w:spacing w:after="0"/>
              <w:rPr>
                <w:sz w:val="24"/>
                <w:szCs w:val="24"/>
                <w:color w:val="auto"/>
              </w:rPr>
            </w:pPr>
          </w:p>
        </w:tc>
        <w:tc>
          <w:tcPr>
            <w:tcW w:w="2300" w:type="dxa"/>
            <w:vAlign w:val="bottom"/>
            <w:gridSpan w:val="4"/>
          </w:tcPr>
          <w:p>
            <w:pPr>
              <w:jc w:val="right"/>
              <w:spacing w:after="0"/>
              <w:rPr>
                <w:rFonts w:ascii="Arial" w:cs="Arial" w:eastAsia="Arial" w:hAnsi="Arial"/>
                <w:sz w:val="13"/>
                <w:szCs w:val="13"/>
                <w:b w:val="1"/>
                <w:bCs w:val="1"/>
                <w:color w:val="0000EE"/>
              </w:rPr>
            </w:pPr>
            <w:hyperlink w:anchor="page117">
              <w:r>
                <w:rPr>
                  <w:rFonts w:ascii="Arial" w:cs="Arial" w:eastAsia="Arial" w:hAnsi="Arial"/>
                  <w:sz w:val="13"/>
                  <w:szCs w:val="13"/>
                  <w:b w:val="1"/>
                  <w:bCs w:val="1"/>
                  <w:color w:val="0000EE"/>
                </w:rPr>
                <w:t>116</w:t>
              </w:r>
            </w:hyperlink>
          </w:p>
        </w:tc>
      </w:tr>
      <w:tr>
        <w:trPr>
          <w:trHeight w:val="20"/>
        </w:trPr>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r>
      <w:tr>
        <w:trPr>
          <w:trHeight w:val="282"/>
        </w:trPr>
        <w:tc>
          <w:tcPr>
            <w:tcW w:w="1460" w:type="dxa"/>
            <w:vAlign w:val="bottom"/>
            <w:gridSpan w:val="4"/>
          </w:tcPr>
          <w:p>
            <w:pPr>
              <w:spacing w:after="0"/>
              <w:rPr>
                <w:rFonts w:ascii="Arial" w:cs="Arial" w:eastAsia="Arial" w:hAnsi="Arial"/>
                <w:sz w:val="13"/>
                <w:szCs w:val="13"/>
                <w:b w:val="1"/>
                <w:bCs w:val="1"/>
                <w:color w:val="0000EE"/>
                <w:w w:val="95"/>
              </w:rPr>
            </w:pPr>
            <w:hyperlink w:anchor="page118">
              <w:r>
                <w:rPr>
                  <w:rFonts w:ascii="Arial" w:cs="Arial" w:eastAsia="Arial" w:hAnsi="Arial"/>
                  <w:sz w:val="13"/>
                  <w:szCs w:val="13"/>
                  <w:b w:val="1"/>
                  <w:bCs w:val="1"/>
                  <w:color w:val="0000EE"/>
                  <w:w w:val="95"/>
                </w:rPr>
                <w:t>ANNUAL MEETING Q&amp;A</w:t>
              </w:r>
            </w:hyperlink>
          </w:p>
        </w:tc>
        <w:tc>
          <w:tcPr>
            <w:tcW w:w="7540" w:type="dxa"/>
            <w:vAlign w:val="bottom"/>
            <w:gridSpan w:val="15"/>
          </w:tcPr>
          <w:p>
            <w:pPr>
              <w:spacing w:after="0"/>
              <w:rPr>
                <w:sz w:val="24"/>
                <w:szCs w:val="24"/>
                <w:color w:val="auto"/>
              </w:rPr>
            </w:pPr>
          </w:p>
        </w:tc>
        <w:tc>
          <w:tcPr>
            <w:tcW w:w="2300" w:type="dxa"/>
            <w:vAlign w:val="bottom"/>
            <w:gridSpan w:val="4"/>
          </w:tcPr>
          <w:p>
            <w:pPr>
              <w:jc w:val="right"/>
              <w:spacing w:after="0"/>
              <w:rPr>
                <w:rFonts w:ascii="Arial" w:cs="Arial" w:eastAsia="Arial" w:hAnsi="Arial"/>
                <w:sz w:val="13"/>
                <w:szCs w:val="13"/>
                <w:b w:val="1"/>
                <w:bCs w:val="1"/>
                <w:color w:val="0000EE"/>
              </w:rPr>
            </w:pPr>
            <w:hyperlink w:anchor="page118">
              <w:r>
                <w:rPr>
                  <w:rFonts w:ascii="Arial" w:cs="Arial" w:eastAsia="Arial" w:hAnsi="Arial"/>
                  <w:sz w:val="13"/>
                  <w:szCs w:val="13"/>
                  <w:b w:val="1"/>
                  <w:bCs w:val="1"/>
                  <w:color w:val="0000EE"/>
                </w:rPr>
                <w:t>117</w:t>
              </w:r>
            </w:hyperlink>
          </w:p>
        </w:tc>
      </w:tr>
      <w:tr>
        <w:trPr>
          <w:trHeight w:val="20"/>
        </w:trPr>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r>
      <w:tr>
        <w:trPr>
          <w:trHeight w:val="282"/>
        </w:trPr>
        <w:tc>
          <w:tcPr>
            <w:tcW w:w="1460" w:type="dxa"/>
            <w:vAlign w:val="bottom"/>
            <w:gridSpan w:val="4"/>
          </w:tcPr>
          <w:p>
            <w:pPr>
              <w:spacing w:after="0"/>
              <w:rPr>
                <w:rFonts w:ascii="Arial" w:cs="Arial" w:eastAsia="Arial" w:hAnsi="Arial"/>
                <w:sz w:val="13"/>
                <w:szCs w:val="13"/>
                <w:b w:val="1"/>
                <w:bCs w:val="1"/>
                <w:color w:val="0000EE"/>
              </w:rPr>
            </w:pPr>
            <w:hyperlink w:anchor="page122">
              <w:r>
                <w:rPr>
                  <w:rFonts w:ascii="Arial" w:cs="Arial" w:eastAsia="Arial" w:hAnsi="Arial"/>
                  <w:sz w:val="13"/>
                  <w:szCs w:val="13"/>
                  <w:b w:val="1"/>
                  <w:bCs w:val="1"/>
                  <w:color w:val="0000EE"/>
                </w:rPr>
                <w:t>OTHER MATTERS</w:t>
              </w:r>
            </w:hyperlink>
          </w:p>
        </w:tc>
        <w:tc>
          <w:tcPr>
            <w:tcW w:w="7540" w:type="dxa"/>
            <w:vAlign w:val="bottom"/>
            <w:gridSpan w:val="15"/>
          </w:tcPr>
          <w:p>
            <w:pPr>
              <w:spacing w:after="0"/>
              <w:rPr>
                <w:sz w:val="24"/>
                <w:szCs w:val="24"/>
                <w:color w:val="auto"/>
              </w:rPr>
            </w:pPr>
          </w:p>
        </w:tc>
        <w:tc>
          <w:tcPr>
            <w:tcW w:w="2300" w:type="dxa"/>
            <w:vAlign w:val="bottom"/>
            <w:gridSpan w:val="4"/>
          </w:tcPr>
          <w:p>
            <w:pPr>
              <w:jc w:val="right"/>
              <w:spacing w:after="0"/>
              <w:rPr>
                <w:rFonts w:ascii="Arial" w:cs="Arial" w:eastAsia="Arial" w:hAnsi="Arial"/>
                <w:sz w:val="13"/>
                <w:szCs w:val="13"/>
                <w:b w:val="1"/>
                <w:bCs w:val="1"/>
                <w:color w:val="0000EE"/>
              </w:rPr>
            </w:pPr>
            <w:hyperlink w:anchor="page122">
              <w:r>
                <w:rPr>
                  <w:rFonts w:ascii="Arial" w:cs="Arial" w:eastAsia="Arial" w:hAnsi="Arial"/>
                  <w:sz w:val="13"/>
                  <w:szCs w:val="13"/>
                  <w:b w:val="1"/>
                  <w:bCs w:val="1"/>
                  <w:color w:val="0000EE"/>
                </w:rPr>
                <w:t>121</w:t>
              </w:r>
            </w:hyperlink>
          </w:p>
        </w:tc>
      </w:tr>
      <w:tr>
        <w:trPr>
          <w:trHeight w:val="660"/>
        </w:trPr>
        <w:tc>
          <w:tcPr>
            <w:tcW w:w="1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jc w:val="right"/>
              <w:ind w:right="17"/>
              <w:spacing w:after="0"/>
              <w:rPr>
                <w:sz w:val="20"/>
                <w:szCs w:val="20"/>
                <w:color w:val="auto"/>
              </w:rPr>
            </w:pPr>
            <w:r>
              <w:rPr>
                <w:rFonts w:ascii="Arial" w:cs="Arial" w:eastAsia="Arial" w:hAnsi="Arial"/>
                <w:sz w:val="13"/>
                <w:szCs w:val="13"/>
                <w:color w:val="FFFFFE"/>
              </w:rPr>
              <w:t>7</w:t>
            </w: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4"/>
        </w:trPr>
        <w:tc>
          <w:tcPr>
            <w:tcW w:w="1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-496570</wp:posOffset>
            </wp:positionV>
            <wp:extent cx="1408430" cy="333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ectPr>
          <w:pgSz w:w="11900" w:h="16838" w:orient="portrait"/>
          <w:cols w:equalWidth="0" w:num="1">
            <w:col w:w="11300"/>
          </w:cols>
          <w:pgMar w:left="300" w:top="1380" w:right="29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2021 PROXY STATEMENT SUMMARY</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001379"/>
        </w:rPr>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5736590</wp:posOffset>
            </wp:positionH>
            <wp:positionV relativeFrom="paragraph">
              <wp:posOffset>-16510</wp:posOffset>
            </wp:positionV>
            <wp:extent cx="1451610" cy="57873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51610" cy="5787390"/>
                    </a:xfrm>
                    <a:prstGeom prst="rect">
                      <a:avLst/>
                    </a:prstGeom>
                    <a:noFill/>
                  </pic:spPr>
                </pic:pic>
              </a:graphicData>
            </a:graphic>
          </wp:anchor>
        </w:drawing>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FF4000"/>
        </w:rPr>
        <w:t>SUMMARY</w:t>
      </w:r>
    </w:p>
    <w:p>
      <w:pPr>
        <w:spacing w:after="0" w:line="158" w:lineRule="exact"/>
        <w:rPr>
          <w:sz w:val="20"/>
          <w:szCs w:val="20"/>
          <w:color w:val="auto"/>
        </w:rPr>
      </w:pPr>
    </w:p>
    <w:p>
      <w:pPr>
        <w:ind w:left="840" w:right="2579"/>
        <w:spacing w:after="0" w:line="235" w:lineRule="auto"/>
        <w:rPr>
          <w:sz w:val="20"/>
          <w:szCs w:val="20"/>
          <w:color w:val="auto"/>
        </w:rPr>
      </w:pPr>
      <w:r>
        <w:rPr>
          <w:rFonts w:ascii="Arial" w:cs="Arial" w:eastAsia="Arial" w:hAnsi="Arial"/>
          <w:sz w:val="13"/>
          <w:szCs w:val="13"/>
          <w:color w:val="auto"/>
        </w:rPr>
        <w:t>Below is a summary of select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 for the fiscal year ended December 31, 2020 (the "2020 Form 10-K"). We refer to the fiscal year ended December 31, 2020 as "fiscal year 2020," "fiscal 2020," and "2020."</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FF4000"/>
        </w:rPr>
        <w:t>MEETING AGENDA, VOTING MATTERS AND RECOMMENDATIONS</w:t>
      </w:r>
    </w:p>
    <w:p>
      <w:pPr>
        <w:spacing w:after="0" w:line="181" w:lineRule="exact"/>
        <w:rPr>
          <w:sz w:val="20"/>
          <w:szCs w:val="20"/>
          <w:color w:val="auto"/>
        </w:rPr>
      </w:pPr>
    </w:p>
    <w:tbl>
      <w:tblPr>
        <w:tblLayout w:type="fixed"/>
        <w:tblInd w:w="840" w:type="dxa"/>
        <w:tblCellMar>
          <w:top w:w="0" w:type="dxa"/>
          <w:left w:w="0" w:type="dxa"/>
          <w:bottom w:w="0" w:type="dxa"/>
          <w:right w:w="0" w:type="dxa"/>
        </w:tblCellMar>
      </w:tblPr>
      <w:tr>
        <w:trPr>
          <w:trHeight w:val="169"/>
        </w:trPr>
        <w:tc>
          <w:tcPr>
            <w:tcW w:w="2800" w:type="dxa"/>
            <w:vAlign w:val="bottom"/>
            <w:tcBorders>
              <w:bottom w:val="single" w:sz="8" w:color="479EFF"/>
            </w:tcBorders>
          </w:tcPr>
          <w:p>
            <w:pPr>
              <w:spacing w:after="0"/>
              <w:rPr>
                <w:sz w:val="20"/>
                <w:szCs w:val="20"/>
                <w:color w:val="auto"/>
              </w:rPr>
            </w:pPr>
            <w:r>
              <w:rPr>
                <w:rFonts w:ascii="Arial" w:cs="Arial" w:eastAsia="Arial" w:hAnsi="Arial"/>
                <w:sz w:val="13"/>
                <w:szCs w:val="13"/>
                <w:b w:val="1"/>
                <w:bCs w:val="1"/>
                <w:color w:val="479EFF"/>
              </w:rPr>
              <w:t>Voting Proposal Item</w:t>
            </w:r>
          </w:p>
        </w:tc>
        <w:tc>
          <w:tcPr>
            <w:tcW w:w="3960" w:type="dxa"/>
            <w:vAlign w:val="bottom"/>
            <w:tcBorders>
              <w:bottom w:val="single" w:sz="8" w:color="479EFF"/>
            </w:tcBorders>
          </w:tcPr>
          <w:p>
            <w:pPr>
              <w:ind w:left="1460"/>
              <w:spacing w:after="0"/>
              <w:rPr>
                <w:sz w:val="20"/>
                <w:szCs w:val="20"/>
                <w:color w:val="auto"/>
              </w:rPr>
            </w:pPr>
            <w:r>
              <w:rPr>
                <w:rFonts w:ascii="Arial" w:cs="Arial" w:eastAsia="Arial" w:hAnsi="Arial"/>
                <w:sz w:val="13"/>
                <w:szCs w:val="13"/>
                <w:b w:val="1"/>
                <w:bCs w:val="1"/>
                <w:color w:val="479EFF"/>
              </w:rPr>
              <w:t>Board Vote Recommendation</w:t>
            </w:r>
          </w:p>
        </w:tc>
        <w:tc>
          <w:tcPr>
            <w:tcW w:w="0" w:type="dxa"/>
            <w:vAlign w:val="bottom"/>
          </w:tcPr>
          <w:p>
            <w:pPr>
              <w:spacing w:after="0"/>
              <w:rPr>
                <w:sz w:val="1"/>
                <w:szCs w:val="1"/>
                <w:color w:val="auto"/>
              </w:rPr>
            </w:pPr>
          </w:p>
        </w:tc>
      </w:tr>
      <w:tr>
        <w:trPr>
          <w:trHeight w:val="340"/>
        </w:trPr>
        <w:tc>
          <w:tcPr>
            <w:tcW w:w="2800" w:type="dxa"/>
            <w:vAlign w:val="bottom"/>
          </w:tcPr>
          <w:p>
            <w:pPr>
              <w:spacing w:after="0"/>
              <w:rPr>
                <w:sz w:val="20"/>
                <w:szCs w:val="20"/>
                <w:color w:val="auto"/>
              </w:rPr>
            </w:pPr>
            <w:r>
              <w:rPr>
                <w:rFonts w:ascii="Arial" w:cs="Arial" w:eastAsia="Arial" w:hAnsi="Arial"/>
                <w:sz w:val="13"/>
                <w:szCs w:val="13"/>
                <w:b w:val="1"/>
                <w:bCs w:val="1"/>
                <w:color w:val="auto"/>
              </w:rPr>
              <w:t>1. Election of directors</w:t>
            </w:r>
          </w:p>
        </w:tc>
        <w:tc>
          <w:tcPr>
            <w:tcW w:w="3960" w:type="dxa"/>
            <w:vAlign w:val="bottom"/>
            <w:vMerge w:val="restart"/>
          </w:tcPr>
          <w:p>
            <w:pPr>
              <w:ind w:left="1840"/>
              <w:spacing w:after="0"/>
              <w:rPr>
                <w:sz w:val="20"/>
                <w:szCs w:val="20"/>
                <w:color w:val="auto"/>
              </w:rPr>
            </w:pPr>
            <w:r>
              <w:rPr>
                <w:rFonts w:ascii="Arial" w:cs="Arial" w:eastAsia="Arial" w:hAnsi="Arial"/>
                <w:sz w:val="13"/>
                <w:szCs w:val="13"/>
                <w:b w:val="1"/>
                <w:bCs w:val="1"/>
                <w:color w:val="479EFF"/>
              </w:rPr>
              <w:t xml:space="preserve">FOR </w:t>
            </w:r>
            <w:r>
              <w:rPr>
                <w:rFonts w:ascii="Arial" w:cs="Arial" w:eastAsia="Arial" w:hAnsi="Arial"/>
                <w:sz w:val="13"/>
                <w:szCs w:val="13"/>
                <w:color w:val="479EFF"/>
              </w:rPr>
              <w:t>the election of each nominee</w:t>
            </w:r>
          </w:p>
        </w:tc>
        <w:tc>
          <w:tcPr>
            <w:tcW w:w="0" w:type="dxa"/>
            <w:vAlign w:val="bottom"/>
          </w:tcPr>
          <w:p>
            <w:pPr>
              <w:spacing w:after="0"/>
              <w:rPr>
                <w:sz w:val="1"/>
                <w:szCs w:val="1"/>
                <w:color w:val="auto"/>
              </w:rPr>
            </w:pPr>
          </w:p>
        </w:tc>
      </w:tr>
      <w:tr>
        <w:trPr>
          <w:trHeight w:val="50"/>
        </w:trPr>
        <w:tc>
          <w:tcPr>
            <w:tcW w:w="2800" w:type="dxa"/>
            <w:vAlign w:val="bottom"/>
          </w:tcPr>
          <w:p>
            <w:pPr>
              <w:spacing w:after="0"/>
              <w:rPr>
                <w:sz w:val="4"/>
                <w:szCs w:val="4"/>
                <w:color w:val="auto"/>
              </w:rPr>
            </w:pPr>
          </w:p>
        </w:tc>
        <w:tc>
          <w:tcPr>
            <w:tcW w:w="3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800" w:type="dxa"/>
            <w:vAlign w:val="bottom"/>
          </w:tcPr>
          <w:p>
            <w:pPr>
              <w:spacing w:after="0"/>
              <w:rPr>
                <w:sz w:val="14"/>
                <w:szCs w:val="14"/>
                <w:color w:val="auto"/>
              </w:rPr>
            </w:pPr>
          </w:p>
        </w:tc>
        <w:tc>
          <w:tcPr>
            <w:tcW w:w="3960" w:type="dxa"/>
            <w:vAlign w:val="bottom"/>
          </w:tcPr>
          <w:p>
            <w:pPr>
              <w:ind w:left="1580"/>
              <w:spacing w:after="0"/>
              <w:rPr>
                <w:sz w:val="20"/>
                <w:szCs w:val="20"/>
                <w:color w:val="auto"/>
              </w:rPr>
            </w:pPr>
            <w:r>
              <w:rPr>
                <w:rFonts w:ascii="Arial" w:cs="Arial" w:eastAsia="Arial" w:hAnsi="Arial"/>
                <w:sz w:val="13"/>
                <w:szCs w:val="13"/>
                <w:color w:val="479EFF"/>
              </w:rPr>
              <w:t>(</w:t>
            </w:r>
            <w:r>
              <w:rPr>
                <w:rFonts w:ascii="Arial" w:cs="Arial" w:eastAsia="Arial" w:hAnsi="Arial"/>
                <w:sz w:val="13"/>
                <w:szCs w:val="13"/>
                <w:i w:val="1"/>
                <w:iCs w:val="1"/>
                <w:color w:val="479EFF"/>
              </w:rPr>
              <w:t>pg. 110</w:t>
            </w:r>
            <w:r>
              <w:rPr>
                <w:rFonts w:ascii="Arial" w:cs="Arial" w:eastAsia="Arial" w:hAnsi="Arial"/>
                <w:sz w:val="13"/>
                <w:szCs w:val="13"/>
                <w:color w:val="479EF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-233680</wp:posOffset>
            </wp:positionV>
            <wp:extent cx="129540" cy="1174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9540" cy="117475"/>
                    </a:xfrm>
                    <a:prstGeom prst="rect">
                      <a:avLst/>
                    </a:prstGeom>
                    <a:noFill/>
                  </pic:spPr>
                </pic:pic>
              </a:graphicData>
            </a:graphic>
          </wp:anchor>
        </w:drawing>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Required Vote: Affirmative vote of a majority of shares present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46990</wp:posOffset>
            </wp:positionV>
            <wp:extent cx="430466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04665" cy="63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4200" w:type="dxa"/>
            <w:vAlign w:val="bottom"/>
          </w:tcPr>
          <w:p>
            <w:pPr>
              <w:spacing w:after="0"/>
              <w:rPr>
                <w:sz w:val="20"/>
                <w:szCs w:val="20"/>
                <w:color w:val="auto"/>
              </w:rPr>
            </w:pPr>
            <w:r>
              <w:rPr>
                <w:rFonts w:ascii="Arial" w:cs="Arial" w:eastAsia="Arial" w:hAnsi="Arial"/>
                <w:sz w:val="13"/>
                <w:szCs w:val="13"/>
                <w:b w:val="1"/>
                <w:bCs w:val="1"/>
                <w:color w:val="auto"/>
              </w:rPr>
              <w:t>2. Ratification of appointment of independent registered public</w:t>
            </w:r>
          </w:p>
        </w:tc>
        <w:tc>
          <w:tcPr>
            <w:tcW w:w="1240" w:type="dxa"/>
            <w:vAlign w:val="bottom"/>
            <w:vMerge w:val="restart"/>
          </w:tcPr>
          <w:p>
            <w:pPr>
              <w:ind w:left="440"/>
              <w:spacing w:after="0"/>
              <w:rPr>
                <w:sz w:val="20"/>
                <w:szCs w:val="20"/>
                <w:color w:val="auto"/>
              </w:rPr>
            </w:pPr>
            <w:r>
              <w:rPr>
                <w:rFonts w:ascii="Arial" w:cs="Arial" w:eastAsia="Arial" w:hAnsi="Arial"/>
                <w:sz w:val="13"/>
                <w:szCs w:val="13"/>
                <w:color w:val="479EFF"/>
                <w:w w:val="93"/>
              </w:rPr>
              <w:t>FOR (</w:t>
            </w:r>
            <w:r>
              <w:rPr>
                <w:rFonts w:ascii="Arial" w:cs="Arial" w:eastAsia="Arial" w:hAnsi="Arial"/>
                <w:sz w:val="13"/>
                <w:szCs w:val="13"/>
                <w:i w:val="1"/>
                <w:iCs w:val="1"/>
                <w:color w:val="479EFF"/>
                <w:w w:val="93"/>
              </w:rPr>
              <w:t>pg. 112</w:t>
            </w:r>
            <w:r>
              <w:rPr>
                <w:rFonts w:ascii="Arial" w:cs="Arial" w:eastAsia="Arial" w:hAnsi="Arial"/>
                <w:sz w:val="13"/>
                <w:szCs w:val="13"/>
                <w:color w:val="479EFF"/>
                <w:w w:val="93"/>
              </w:rPr>
              <w:t>)</w:t>
            </w:r>
          </w:p>
        </w:tc>
        <w:tc>
          <w:tcPr>
            <w:tcW w:w="0" w:type="dxa"/>
            <w:vAlign w:val="bottom"/>
          </w:tcPr>
          <w:p>
            <w:pPr>
              <w:spacing w:after="0"/>
              <w:rPr>
                <w:sz w:val="1"/>
                <w:szCs w:val="1"/>
                <w:color w:val="auto"/>
              </w:rPr>
            </w:pPr>
          </w:p>
        </w:tc>
      </w:tr>
      <w:tr>
        <w:trPr>
          <w:trHeight w:val="91"/>
        </w:trPr>
        <w:tc>
          <w:tcPr>
            <w:tcW w:w="420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accounting firm</w:t>
            </w: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20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-190500</wp:posOffset>
            </wp:positionV>
            <wp:extent cx="129540" cy="1174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9540" cy="117475"/>
                    </a:xfrm>
                    <a:prstGeom prst="rect">
                      <a:avLst/>
                    </a:prstGeom>
                    <a:noFill/>
                  </pic:spPr>
                </pic:pic>
              </a:graphicData>
            </a:graphic>
          </wp:anchor>
        </w:drawing>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Required Vote: Affirmative vote of a majority of shares present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46990</wp:posOffset>
            </wp:positionV>
            <wp:extent cx="430466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04665" cy="63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840" w:type="dxa"/>
        <w:tblCellMar>
          <w:top w:w="0" w:type="dxa"/>
          <w:left w:w="0" w:type="dxa"/>
          <w:bottom w:w="0" w:type="dxa"/>
          <w:right w:w="0" w:type="dxa"/>
        </w:tblCellMar>
      </w:tblPr>
      <w:tr>
        <w:trPr>
          <w:trHeight w:val="168"/>
        </w:trPr>
        <w:tc>
          <w:tcPr>
            <w:tcW w:w="4080" w:type="dxa"/>
            <w:vAlign w:val="bottom"/>
          </w:tcPr>
          <w:p>
            <w:pPr>
              <w:spacing w:after="0"/>
              <w:rPr>
                <w:sz w:val="20"/>
                <w:szCs w:val="20"/>
                <w:color w:val="auto"/>
              </w:rPr>
            </w:pPr>
            <w:r>
              <w:rPr>
                <w:rFonts w:ascii="Arial" w:cs="Arial" w:eastAsia="Arial" w:hAnsi="Arial"/>
                <w:sz w:val="13"/>
                <w:szCs w:val="13"/>
                <w:b w:val="1"/>
                <w:bCs w:val="1"/>
                <w:color w:val="auto"/>
              </w:rPr>
              <w:t>3. Advisory (non-binding) vote on executive compensation</w:t>
            </w:r>
          </w:p>
        </w:tc>
        <w:tc>
          <w:tcPr>
            <w:tcW w:w="1360" w:type="dxa"/>
            <w:vAlign w:val="bottom"/>
            <w:vMerge w:val="restart"/>
          </w:tcPr>
          <w:p>
            <w:pPr>
              <w:ind w:left="560"/>
              <w:spacing w:after="0"/>
              <w:rPr>
                <w:sz w:val="20"/>
                <w:szCs w:val="20"/>
                <w:color w:val="auto"/>
              </w:rPr>
            </w:pPr>
            <w:r>
              <w:rPr>
                <w:rFonts w:ascii="Arial" w:cs="Arial" w:eastAsia="Arial" w:hAnsi="Arial"/>
                <w:sz w:val="13"/>
                <w:szCs w:val="13"/>
                <w:b w:val="1"/>
                <w:bCs w:val="1"/>
                <w:color w:val="479EFF"/>
                <w:w w:val="93"/>
              </w:rPr>
              <w:t xml:space="preserve">FOR </w:t>
            </w:r>
            <w:r>
              <w:rPr>
                <w:rFonts w:ascii="Arial" w:cs="Arial" w:eastAsia="Arial" w:hAnsi="Arial"/>
                <w:sz w:val="13"/>
                <w:szCs w:val="13"/>
                <w:color w:val="479EFF"/>
                <w:w w:val="93"/>
              </w:rPr>
              <w:t>(</w:t>
            </w:r>
            <w:r>
              <w:rPr>
                <w:rFonts w:ascii="Arial" w:cs="Arial" w:eastAsia="Arial" w:hAnsi="Arial"/>
                <w:sz w:val="13"/>
                <w:szCs w:val="13"/>
                <w:i w:val="1"/>
                <w:iCs w:val="1"/>
                <w:color w:val="479EFF"/>
                <w:w w:val="93"/>
              </w:rPr>
              <w:t>pg. 114</w:t>
            </w:r>
            <w:r>
              <w:rPr>
                <w:rFonts w:ascii="Arial" w:cs="Arial" w:eastAsia="Arial" w:hAnsi="Arial"/>
                <w:sz w:val="13"/>
                <w:szCs w:val="13"/>
                <w:color w:val="479EFF"/>
                <w:w w:val="93"/>
              </w:rPr>
              <w:t>)</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-140970</wp:posOffset>
            </wp:positionV>
            <wp:extent cx="129540" cy="117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9540" cy="117475"/>
                    </a:xfrm>
                    <a:prstGeom prst="rect">
                      <a:avLst/>
                    </a:prstGeom>
                    <a:noFill/>
                  </pic:spPr>
                </pic:pic>
              </a:graphicData>
            </a:graphic>
          </wp:anchor>
        </w:drawing>
      </w:r>
    </w:p>
    <w:p>
      <w:pPr>
        <w:spacing w:after="0" w:line="107"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Required Vote: Affirmative vote of a majority of shares present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3810</wp:posOffset>
            </wp:positionV>
            <wp:extent cx="4292600"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92600" cy="18415"/>
                    </a:xfrm>
                    <a:prstGeom prst="rect">
                      <a:avLst/>
                    </a:prstGeom>
                    <a:noFill/>
                  </pic:spPr>
                </pic:pic>
              </a:graphicData>
            </a:graphic>
          </wp:anchor>
        </w:drawing>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10"/>
          <w:szCs w:val="10"/>
          <w:color w:val="auto"/>
        </w:rPr>
        <w:t>*Virtual attendance at our Annual Meeting will constitute presence in person for purposes of quorum and voting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2766060</wp:posOffset>
            </wp:positionV>
            <wp:extent cx="1408430" cy="333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0159"/>
          </w:cols>
          <w:pgMar w:left="300" w:top="142" w:right="1440"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2021 PROXY STATEMENT SUMMARY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OUR BUSINESS</w:t>
      </w:r>
    </w:p>
    <w:p>
      <w:pPr>
        <w:spacing w:after="0" w:line="168" w:lineRule="exact"/>
        <w:rPr>
          <w:sz w:val="20"/>
          <w:szCs w:val="20"/>
          <w:color w:val="auto"/>
        </w:rPr>
      </w:pPr>
    </w:p>
    <w:p>
      <w:pPr>
        <w:ind w:right="60"/>
        <w:spacing w:after="0" w:line="236" w:lineRule="auto"/>
        <w:rPr>
          <w:sz w:val="20"/>
          <w:szCs w:val="20"/>
          <w:color w:val="auto"/>
        </w:rPr>
      </w:pPr>
      <w:r>
        <w:rPr>
          <w:rFonts w:ascii="Arial" w:cs="Arial" w:eastAsia="Arial" w:hAnsi="Arial"/>
          <w:sz w:val="13"/>
          <w:szCs w:val="13"/>
          <w:color w:val="auto"/>
        </w:rPr>
        <w:t>We are a leading operations management and analytics company that helps our clients build and grow sustainable businesses. By orchestrating our domain expertise, data, analytics and digital technology, we look deeper to design and manage agile, client-centric operating models to improve global operations, drive profitability, enhance client satisfaction, increase data-driven insights, and manage risk and compliance. Headquartered in New York, as of March 31, 2021 we had approximately 31,600 professionals in locations throughout the United States, the United Kingdom, Europe, India, the Philippines, Colombia, Canada, Australia and South Africa. We serve clients in multiple industries, including insurance, healthcare, banking and financial services, utilities, travel, transportation and logistics, media and retail, among others.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40" w:type="dxa"/>
            <w:vAlign w:val="bottom"/>
          </w:tcPr>
          <w:p>
            <w:pPr>
              <w:spacing w:after="0"/>
              <w:rPr>
                <w:sz w:val="20"/>
                <w:szCs w:val="20"/>
                <w:color w:val="auto"/>
              </w:rPr>
            </w:pPr>
            <w:r>
              <w:rPr>
                <w:rFonts w:ascii="Arial" w:cs="Arial" w:eastAsia="Arial" w:hAnsi="Arial"/>
                <w:sz w:val="13"/>
                <w:szCs w:val="13"/>
                <w:b w:val="1"/>
                <w:bCs w:val="1"/>
                <w:color w:val="479EFF"/>
              </w:rPr>
              <w:t>Company 3 Year Performance</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20" w:type="dxa"/>
            <w:vAlign w:val="bottom"/>
            <w:gridSpan w:val="5"/>
          </w:tcPr>
          <w:p>
            <w:pPr>
              <w:jc w:val="right"/>
              <w:ind w:right="77"/>
              <w:spacing w:after="0"/>
              <w:rPr>
                <w:sz w:val="20"/>
                <w:szCs w:val="20"/>
                <w:color w:val="auto"/>
              </w:rPr>
            </w:pPr>
            <w:r>
              <w:rPr>
                <w:rFonts w:ascii="Arial" w:cs="Arial" w:eastAsia="Arial" w:hAnsi="Arial"/>
                <w:sz w:val="13"/>
                <w:szCs w:val="13"/>
                <w:b w:val="1"/>
                <w:bCs w:val="1"/>
                <w:color w:val="479EFF"/>
                <w:w w:val="98"/>
              </w:rPr>
              <w:t>Revenue (Year-over-year growth %)</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6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i w:val="1"/>
                <w:iCs w:val="1"/>
                <w:color w:val="auto"/>
              </w:rPr>
              <w:t>Revenue and Segment Information ($ in millions)</w:t>
            </w: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13"/>
                <w:szCs w:val="13"/>
                <w:b w:val="1"/>
                <w:bCs w:val="1"/>
                <w:color w:val="auto"/>
              </w:rPr>
              <w:t>2018 YOY%</w:t>
            </w: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3"/>
                <w:szCs w:val="13"/>
                <w:b w:val="1"/>
                <w:bCs w:val="1"/>
                <w:color w:val="auto"/>
              </w:rPr>
              <w:t>2019 YOY%</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3"/>
                <w:szCs w:val="13"/>
                <w:b w:val="1"/>
                <w:bCs w:val="1"/>
                <w:color w:val="auto"/>
              </w:rPr>
              <w:t>2020 YOY%</w:t>
            </w:r>
          </w:p>
        </w:tc>
        <w:tc>
          <w:tcPr>
            <w:tcW w:w="20" w:type="dxa"/>
            <w:vAlign w:val="bottom"/>
          </w:tcPr>
          <w:p>
            <w:pPr>
              <w:spacing w:after="0"/>
              <w:rPr>
                <w:sz w:val="13"/>
                <w:szCs w:val="13"/>
                <w:color w:val="auto"/>
              </w:rPr>
            </w:pPr>
          </w:p>
        </w:tc>
      </w:tr>
      <w:tr>
        <w:trPr>
          <w:trHeight w:val="138"/>
        </w:trPr>
        <w:tc>
          <w:tcPr>
            <w:tcW w:w="614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color w:val="auto"/>
              </w:rPr>
              <w:t>Insurance Segment</w:t>
            </w:r>
          </w:p>
        </w:tc>
        <w:tc>
          <w:tcPr>
            <w:tcW w:w="320" w:type="dxa"/>
            <w:vAlign w:val="bottom"/>
          </w:tcPr>
          <w:p>
            <w:pPr>
              <w:jc w:val="right"/>
              <w:ind w:right="77"/>
              <w:spacing w:after="0" w:line="138"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line="138" w:lineRule="exact"/>
              <w:rPr>
                <w:sz w:val="20"/>
                <w:szCs w:val="20"/>
                <w:color w:val="auto"/>
              </w:rPr>
            </w:pPr>
            <w:r>
              <w:rPr>
                <w:rFonts w:ascii="Arial" w:cs="Arial" w:eastAsia="Arial" w:hAnsi="Arial"/>
                <w:sz w:val="13"/>
                <w:szCs w:val="13"/>
                <w:color w:val="auto"/>
              </w:rPr>
              <w:t>311.2</w:t>
            </w: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15.8%</w:t>
            </w:r>
          </w:p>
        </w:tc>
        <w:tc>
          <w:tcPr>
            <w:tcW w:w="180" w:type="dxa"/>
            <w:vAlign w:val="bottom"/>
            <w:tcBorders>
              <w:right w:val="single" w:sz="8" w:color="auto"/>
            </w:tcBorders>
          </w:tcPr>
          <w:p>
            <w:pPr>
              <w:spacing w:after="0"/>
              <w:rPr>
                <w:sz w:val="11"/>
                <w:szCs w:val="11"/>
                <w:color w:val="auto"/>
              </w:rPr>
            </w:pPr>
          </w:p>
        </w:tc>
        <w:tc>
          <w:tcPr>
            <w:tcW w:w="340" w:type="dxa"/>
            <w:vAlign w:val="bottom"/>
          </w:tcPr>
          <w:p>
            <w:pPr>
              <w:jc w:val="right"/>
              <w:ind w:right="97"/>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346.4</w:t>
            </w:r>
          </w:p>
        </w:tc>
        <w:tc>
          <w:tcPr>
            <w:tcW w:w="820" w:type="dxa"/>
            <w:vAlign w:val="bottom"/>
            <w:tcBorders>
              <w:right w:val="single" w:sz="8" w:color="auto"/>
            </w:tcBorders>
          </w:tcPr>
          <w:p>
            <w:pPr>
              <w:jc w:val="right"/>
              <w:ind w:right="177"/>
              <w:spacing w:after="0" w:line="138" w:lineRule="exact"/>
              <w:rPr>
                <w:sz w:val="20"/>
                <w:szCs w:val="20"/>
                <w:color w:val="auto"/>
              </w:rPr>
            </w:pPr>
            <w:r>
              <w:rPr>
                <w:rFonts w:ascii="Arial" w:cs="Arial" w:eastAsia="Arial" w:hAnsi="Arial"/>
                <w:sz w:val="13"/>
                <w:szCs w:val="13"/>
                <w:color w:val="auto"/>
              </w:rPr>
              <w:t>11.3%</w:t>
            </w:r>
          </w:p>
        </w:tc>
        <w:tc>
          <w:tcPr>
            <w:tcW w:w="320" w:type="dxa"/>
            <w:vAlign w:val="bottom"/>
          </w:tcPr>
          <w:p>
            <w:pPr>
              <w:jc w:val="right"/>
              <w:ind w:right="77"/>
              <w:spacing w:after="0" w:line="138"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line="138" w:lineRule="exact"/>
              <w:rPr>
                <w:sz w:val="20"/>
                <w:szCs w:val="20"/>
                <w:color w:val="auto"/>
              </w:rPr>
            </w:pPr>
            <w:r>
              <w:rPr>
                <w:rFonts w:ascii="Arial" w:cs="Arial" w:eastAsia="Arial" w:hAnsi="Arial"/>
                <w:sz w:val="13"/>
                <w:szCs w:val="13"/>
                <w:color w:val="auto"/>
              </w:rPr>
              <w:t>341.8</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–1.3%</w:t>
            </w:r>
          </w:p>
        </w:tc>
      </w:tr>
      <w:tr>
        <w:trPr>
          <w:trHeight w:val="146"/>
        </w:trPr>
        <w:tc>
          <w:tcPr>
            <w:tcW w:w="6140" w:type="dxa"/>
            <w:vAlign w:val="bottom"/>
            <w:tcBorders>
              <w:right w:val="single" w:sz="8" w:color="auto"/>
            </w:tcBorders>
          </w:tcPr>
          <w:p>
            <w:pPr>
              <w:spacing w:after="0" w:line="146" w:lineRule="exact"/>
              <w:rPr>
                <w:sz w:val="20"/>
                <w:szCs w:val="20"/>
                <w:color w:val="auto"/>
              </w:rPr>
            </w:pPr>
            <w:r>
              <w:rPr>
                <w:rFonts w:ascii="Arial" w:cs="Arial" w:eastAsia="Arial" w:hAnsi="Arial"/>
                <w:sz w:val="13"/>
                <w:szCs w:val="13"/>
                <w:color w:val="auto"/>
              </w:rPr>
              <w:t>Healthcare Segment</w:t>
            </w:r>
          </w:p>
        </w:tc>
        <w:tc>
          <w:tcPr>
            <w:tcW w:w="320" w:type="dxa"/>
            <w:vAlign w:val="bottom"/>
          </w:tcPr>
          <w:p>
            <w:pPr>
              <w:spacing w:after="0"/>
              <w:rPr>
                <w:sz w:val="12"/>
                <w:szCs w:val="12"/>
                <w:color w:val="auto"/>
              </w:rPr>
            </w:pPr>
          </w:p>
        </w:tc>
        <w:tc>
          <w:tcPr>
            <w:tcW w:w="600" w:type="dxa"/>
            <w:vAlign w:val="bottom"/>
          </w:tcPr>
          <w:p>
            <w:pPr>
              <w:jc w:val="right"/>
              <w:ind w:right="77"/>
              <w:spacing w:after="0" w:line="146" w:lineRule="exact"/>
              <w:rPr>
                <w:sz w:val="20"/>
                <w:szCs w:val="20"/>
                <w:color w:val="auto"/>
              </w:rPr>
            </w:pPr>
            <w:r>
              <w:rPr>
                <w:rFonts w:ascii="Arial" w:cs="Arial" w:eastAsia="Arial" w:hAnsi="Arial"/>
                <w:sz w:val="13"/>
                <w:szCs w:val="13"/>
                <w:color w:val="auto"/>
              </w:rPr>
              <w:t>89.8</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5.4%</w:t>
            </w:r>
          </w:p>
        </w:tc>
        <w:tc>
          <w:tcPr>
            <w:tcW w:w="1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137"/>
              <w:spacing w:after="0" w:line="146" w:lineRule="exact"/>
              <w:rPr>
                <w:sz w:val="20"/>
                <w:szCs w:val="20"/>
                <w:color w:val="auto"/>
              </w:rPr>
            </w:pPr>
            <w:r>
              <w:rPr>
                <w:rFonts w:ascii="Arial" w:cs="Arial" w:eastAsia="Arial" w:hAnsi="Arial"/>
                <w:sz w:val="13"/>
                <w:szCs w:val="13"/>
                <w:color w:val="auto"/>
              </w:rPr>
              <w:t>97.5</w:t>
            </w:r>
          </w:p>
        </w:tc>
        <w:tc>
          <w:tcPr>
            <w:tcW w:w="820" w:type="dxa"/>
            <w:vAlign w:val="bottom"/>
            <w:tcBorders>
              <w:right w:val="single" w:sz="8" w:color="auto"/>
            </w:tcBorders>
          </w:tcPr>
          <w:p>
            <w:pPr>
              <w:jc w:val="right"/>
              <w:ind w:right="177"/>
              <w:spacing w:after="0" w:line="146" w:lineRule="exact"/>
              <w:rPr>
                <w:sz w:val="20"/>
                <w:szCs w:val="20"/>
                <w:color w:val="auto"/>
              </w:rPr>
            </w:pPr>
            <w:r>
              <w:rPr>
                <w:rFonts w:ascii="Arial" w:cs="Arial" w:eastAsia="Arial" w:hAnsi="Arial"/>
                <w:sz w:val="13"/>
                <w:szCs w:val="13"/>
                <w:color w:val="auto"/>
              </w:rPr>
              <w:t>8.5%</w:t>
            </w:r>
          </w:p>
        </w:tc>
        <w:tc>
          <w:tcPr>
            <w:tcW w:w="320" w:type="dxa"/>
            <w:vAlign w:val="bottom"/>
          </w:tcPr>
          <w:p>
            <w:pPr>
              <w:spacing w:after="0"/>
              <w:rPr>
                <w:sz w:val="12"/>
                <w:szCs w:val="12"/>
                <w:color w:val="auto"/>
              </w:rPr>
            </w:pPr>
          </w:p>
        </w:tc>
        <w:tc>
          <w:tcPr>
            <w:tcW w:w="600" w:type="dxa"/>
            <w:vAlign w:val="bottom"/>
          </w:tcPr>
          <w:p>
            <w:pPr>
              <w:jc w:val="right"/>
              <w:ind w:right="77"/>
              <w:spacing w:after="0" w:line="146" w:lineRule="exact"/>
              <w:rPr>
                <w:sz w:val="20"/>
                <w:szCs w:val="20"/>
                <w:color w:val="auto"/>
              </w:rPr>
            </w:pPr>
            <w:r>
              <w:rPr>
                <w:rFonts w:ascii="Arial" w:cs="Arial" w:eastAsia="Arial" w:hAnsi="Arial"/>
                <w:sz w:val="13"/>
                <w:szCs w:val="13"/>
                <w:color w:val="auto"/>
              </w:rPr>
              <w:t>101.2</w:t>
            </w: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rPr>
              <w:t>4.0%</w:t>
            </w:r>
          </w:p>
        </w:tc>
        <w:tc>
          <w:tcPr>
            <w:tcW w:w="20" w:type="dxa"/>
            <w:vAlign w:val="bottom"/>
          </w:tcPr>
          <w:p>
            <w:pPr>
              <w:spacing w:after="0"/>
              <w:rPr>
                <w:sz w:val="12"/>
                <w:szCs w:val="12"/>
                <w:color w:val="auto"/>
              </w:rPr>
            </w:pPr>
          </w:p>
        </w:tc>
      </w:tr>
      <w:tr>
        <w:trPr>
          <w:trHeight w:val="146"/>
        </w:trPr>
        <w:tc>
          <w:tcPr>
            <w:tcW w:w="6140" w:type="dxa"/>
            <w:vAlign w:val="bottom"/>
            <w:tcBorders>
              <w:right w:val="single" w:sz="8" w:color="auto"/>
            </w:tcBorders>
          </w:tcPr>
          <w:p>
            <w:pPr>
              <w:spacing w:after="0" w:line="146" w:lineRule="exact"/>
              <w:rPr>
                <w:sz w:val="20"/>
                <w:szCs w:val="20"/>
                <w:color w:val="auto"/>
              </w:rPr>
            </w:pPr>
            <w:r>
              <w:rPr>
                <w:rFonts w:ascii="Arial" w:cs="Arial" w:eastAsia="Arial" w:hAnsi="Arial"/>
                <w:sz w:val="13"/>
                <w:szCs w:val="13"/>
                <w:color w:val="auto"/>
              </w:rPr>
              <w:t>Emerging Business Segment</w:t>
            </w:r>
          </w:p>
        </w:tc>
        <w:tc>
          <w:tcPr>
            <w:tcW w:w="320" w:type="dxa"/>
            <w:vAlign w:val="bottom"/>
          </w:tcPr>
          <w:p>
            <w:pPr>
              <w:spacing w:after="0"/>
              <w:rPr>
                <w:sz w:val="12"/>
                <w:szCs w:val="12"/>
                <w:color w:val="auto"/>
              </w:rPr>
            </w:pPr>
          </w:p>
        </w:tc>
        <w:tc>
          <w:tcPr>
            <w:tcW w:w="600" w:type="dxa"/>
            <w:vAlign w:val="bottom"/>
          </w:tcPr>
          <w:p>
            <w:pPr>
              <w:jc w:val="right"/>
              <w:ind w:right="77"/>
              <w:spacing w:after="0" w:line="146" w:lineRule="exact"/>
              <w:rPr>
                <w:sz w:val="20"/>
                <w:szCs w:val="20"/>
                <w:color w:val="auto"/>
              </w:rPr>
            </w:pPr>
            <w:r>
              <w:rPr>
                <w:rFonts w:ascii="Arial" w:cs="Arial" w:eastAsia="Arial" w:hAnsi="Arial"/>
                <w:sz w:val="13"/>
                <w:szCs w:val="13"/>
                <w:color w:val="auto"/>
              </w:rPr>
              <w:t>196.8</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–0.8%</w:t>
            </w:r>
          </w:p>
        </w:tc>
        <w:tc>
          <w:tcPr>
            <w:tcW w:w="1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137"/>
              <w:spacing w:after="0" w:line="146" w:lineRule="exact"/>
              <w:rPr>
                <w:sz w:val="20"/>
                <w:szCs w:val="20"/>
                <w:color w:val="auto"/>
              </w:rPr>
            </w:pPr>
            <w:r>
              <w:rPr>
                <w:rFonts w:ascii="Arial" w:cs="Arial" w:eastAsia="Arial" w:hAnsi="Arial"/>
                <w:sz w:val="13"/>
                <w:szCs w:val="13"/>
                <w:color w:val="auto"/>
              </w:rPr>
              <w:t>190.1</w:t>
            </w:r>
          </w:p>
        </w:tc>
        <w:tc>
          <w:tcPr>
            <w:tcW w:w="820" w:type="dxa"/>
            <w:vAlign w:val="bottom"/>
            <w:tcBorders>
              <w:right w:val="single" w:sz="8" w:color="auto"/>
            </w:tcBorders>
          </w:tcPr>
          <w:p>
            <w:pPr>
              <w:jc w:val="right"/>
              <w:ind w:right="177"/>
              <w:spacing w:after="0" w:line="146" w:lineRule="exact"/>
              <w:rPr>
                <w:sz w:val="20"/>
                <w:szCs w:val="20"/>
                <w:color w:val="auto"/>
              </w:rPr>
            </w:pPr>
            <w:r>
              <w:rPr>
                <w:rFonts w:ascii="Arial" w:cs="Arial" w:eastAsia="Arial" w:hAnsi="Arial"/>
                <w:sz w:val="13"/>
                <w:szCs w:val="13"/>
                <w:color w:val="auto"/>
              </w:rPr>
              <w:t>–3.4%</w:t>
            </w:r>
          </w:p>
        </w:tc>
        <w:tc>
          <w:tcPr>
            <w:tcW w:w="320" w:type="dxa"/>
            <w:vAlign w:val="bottom"/>
          </w:tcPr>
          <w:p>
            <w:pPr>
              <w:spacing w:after="0"/>
              <w:rPr>
                <w:sz w:val="12"/>
                <w:szCs w:val="12"/>
                <w:color w:val="auto"/>
              </w:rPr>
            </w:pPr>
          </w:p>
        </w:tc>
        <w:tc>
          <w:tcPr>
            <w:tcW w:w="600" w:type="dxa"/>
            <w:vAlign w:val="bottom"/>
          </w:tcPr>
          <w:p>
            <w:pPr>
              <w:jc w:val="right"/>
              <w:ind w:right="77"/>
              <w:spacing w:after="0" w:line="146" w:lineRule="exact"/>
              <w:rPr>
                <w:sz w:val="20"/>
                <w:szCs w:val="20"/>
                <w:color w:val="auto"/>
              </w:rPr>
            </w:pPr>
            <w:r>
              <w:rPr>
                <w:rFonts w:ascii="Arial" w:cs="Arial" w:eastAsia="Arial" w:hAnsi="Arial"/>
                <w:sz w:val="13"/>
                <w:szCs w:val="13"/>
                <w:color w:val="auto"/>
              </w:rPr>
              <w:t>152.7</w:t>
            </w:r>
          </w:p>
        </w:tc>
        <w:tc>
          <w:tcPr>
            <w:tcW w:w="60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–19.7%</w:t>
            </w:r>
          </w:p>
        </w:tc>
      </w:tr>
      <w:tr>
        <w:trPr>
          <w:trHeight w:val="144"/>
        </w:trPr>
        <w:tc>
          <w:tcPr>
            <w:tcW w:w="6140" w:type="dxa"/>
            <w:vAlign w:val="bottom"/>
            <w:tcBorders>
              <w:bottom w:val="single" w:sz="8" w:color="auto"/>
              <w:right w:val="single" w:sz="8" w:color="auto"/>
            </w:tcBorders>
          </w:tcPr>
          <w:p>
            <w:pPr>
              <w:spacing w:after="0" w:line="144" w:lineRule="exact"/>
              <w:rPr>
                <w:sz w:val="20"/>
                <w:szCs w:val="20"/>
                <w:color w:val="auto"/>
              </w:rPr>
            </w:pPr>
            <w:r>
              <w:rPr>
                <w:rFonts w:ascii="Arial" w:cs="Arial" w:eastAsia="Arial" w:hAnsi="Arial"/>
                <w:sz w:val="13"/>
                <w:szCs w:val="13"/>
                <w:color w:val="auto"/>
              </w:rPr>
              <w:t>Analytics Segment</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7"/>
              <w:spacing w:after="0" w:line="144" w:lineRule="exact"/>
              <w:rPr>
                <w:sz w:val="20"/>
                <w:szCs w:val="20"/>
                <w:color w:val="auto"/>
              </w:rPr>
            </w:pPr>
            <w:r>
              <w:rPr>
                <w:rFonts w:ascii="Arial" w:cs="Arial" w:eastAsia="Arial" w:hAnsi="Arial"/>
                <w:sz w:val="13"/>
                <w:szCs w:val="13"/>
                <w:color w:val="auto"/>
              </w:rPr>
              <w:t>285.3</w:t>
            </w: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35.90%</w:t>
            </w:r>
          </w:p>
        </w:tc>
        <w:tc>
          <w:tcPr>
            <w:tcW w:w="1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7"/>
              <w:spacing w:after="0" w:line="144" w:lineRule="exact"/>
              <w:rPr>
                <w:sz w:val="20"/>
                <w:szCs w:val="20"/>
                <w:color w:val="auto"/>
              </w:rPr>
            </w:pPr>
            <w:r>
              <w:rPr>
                <w:rFonts w:ascii="Arial" w:cs="Arial" w:eastAsia="Arial" w:hAnsi="Arial"/>
                <w:sz w:val="13"/>
                <w:szCs w:val="13"/>
                <w:color w:val="auto"/>
              </w:rPr>
              <w:t>357.3</w:t>
            </w:r>
          </w:p>
        </w:tc>
        <w:tc>
          <w:tcPr>
            <w:tcW w:w="820" w:type="dxa"/>
            <w:vAlign w:val="bottom"/>
            <w:tcBorders>
              <w:bottom w:val="single" w:sz="8" w:color="auto"/>
              <w:right w:val="single" w:sz="8" w:color="auto"/>
            </w:tcBorders>
          </w:tcPr>
          <w:p>
            <w:pPr>
              <w:jc w:val="right"/>
              <w:ind w:right="177"/>
              <w:spacing w:after="0" w:line="144" w:lineRule="exact"/>
              <w:rPr>
                <w:sz w:val="20"/>
                <w:szCs w:val="20"/>
                <w:color w:val="auto"/>
              </w:rPr>
            </w:pPr>
            <w:r>
              <w:rPr>
                <w:rFonts w:ascii="Arial" w:cs="Arial" w:eastAsia="Arial" w:hAnsi="Arial"/>
                <w:sz w:val="13"/>
                <w:szCs w:val="13"/>
                <w:color w:val="auto"/>
              </w:rPr>
              <w:t>25.3%</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7"/>
              <w:spacing w:after="0" w:line="144" w:lineRule="exact"/>
              <w:rPr>
                <w:sz w:val="20"/>
                <w:szCs w:val="20"/>
                <w:color w:val="auto"/>
              </w:rPr>
            </w:pPr>
            <w:r>
              <w:rPr>
                <w:rFonts w:ascii="Arial" w:cs="Arial" w:eastAsia="Arial" w:hAnsi="Arial"/>
                <w:sz w:val="13"/>
                <w:szCs w:val="13"/>
                <w:color w:val="auto"/>
              </w:rPr>
              <w:t>362.7</w:t>
            </w:r>
          </w:p>
        </w:tc>
        <w:tc>
          <w:tcPr>
            <w:tcW w:w="5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1.5%</w:t>
            </w:r>
          </w:p>
        </w:tc>
        <w:tc>
          <w:tcPr>
            <w:tcW w:w="20" w:type="dxa"/>
            <w:vAlign w:val="bottom"/>
          </w:tcPr>
          <w:p>
            <w:pPr>
              <w:spacing w:after="0"/>
              <w:rPr>
                <w:sz w:val="12"/>
                <w:szCs w:val="12"/>
                <w:color w:val="auto"/>
              </w:rPr>
            </w:pPr>
          </w:p>
        </w:tc>
      </w:tr>
      <w:tr>
        <w:trPr>
          <w:trHeight w:val="158"/>
        </w:trPr>
        <w:tc>
          <w:tcPr>
            <w:tcW w:w="6140" w:type="dxa"/>
            <w:vAlign w:val="bottom"/>
          </w:tcPr>
          <w:p>
            <w:pPr>
              <w:spacing w:after="0"/>
              <w:rPr>
                <w:sz w:val="20"/>
                <w:szCs w:val="20"/>
                <w:color w:val="auto"/>
              </w:rPr>
            </w:pPr>
            <w:r>
              <w:rPr>
                <w:rFonts w:ascii="Arial" w:cs="Arial" w:eastAsia="Arial" w:hAnsi="Arial"/>
                <w:sz w:val="13"/>
                <w:szCs w:val="13"/>
                <w:b w:val="1"/>
                <w:bCs w:val="1"/>
                <w:color w:val="auto"/>
              </w:rPr>
              <w:t>Consolidated</w:t>
            </w:r>
          </w:p>
        </w:tc>
        <w:tc>
          <w:tcPr>
            <w:tcW w:w="32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883.1</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15.8%</w:t>
            </w:r>
          </w:p>
        </w:tc>
        <w:tc>
          <w:tcPr>
            <w:tcW w:w="180" w:type="dxa"/>
            <w:vAlign w:val="bottom"/>
          </w:tcPr>
          <w:p>
            <w:pPr>
              <w:spacing w:after="0"/>
              <w:rPr>
                <w:sz w:val="13"/>
                <w:szCs w:val="13"/>
                <w:color w:val="auto"/>
              </w:rPr>
            </w:pPr>
          </w:p>
        </w:tc>
        <w:tc>
          <w:tcPr>
            <w:tcW w:w="34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37"/>
              <w:spacing w:after="0"/>
              <w:rPr>
                <w:sz w:val="20"/>
                <w:szCs w:val="20"/>
                <w:color w:val="auto"/>
              </w:rPr>
            </w:pPr>
            <w:r>
              <w:rPr>
                <w:rFonts w:ascii="Arial" w:cs="Arial" w:eastAsia="Arial" w:hAnsi="Arial"/>
                <w:sz w:val="13"/>
                <w:szCs w:val="13"/>
                <w:b w:val="1"/>
                <w:bCs w:val="1"/>
                <w:color w:val="auto"/>
              </w:rPr>
              <w:t>991.3</w:t>
            </w: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12.3%</w:t>
            </w:r>
          </w:p>
        </w:tc>
        <w:tc>
          <w:tcPr>
            <w:tcW w:w="32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958.4</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–3.3%</w:t>
            </w:r>
          </w:p>
        </w:tc>
        <w:tc>
          <w:tcPr>
            <w:tcW w:w="20" w:type="dxa"/>
            <w:vAlign w:val="bottom"/>
          </w:tcPr>
          <w:p>
            <w:pPr>
              <w:spacing w:after="0"/>
              <w:rPr>
                <w:sz w:val="13"/>
                <w:szCs w:val="13"/>
                <w:color w:val="auto"/>
              </w:rPr>
            </w:pPr>
          </w:p>
        </w:tc>
      </w:tr>
    </w:tbl>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3"/>
          <w:szCs w:val="13"/>
          <w:color w:val="auto"/>
        </w:rPr>
        <w:t>While our annual revenues decreased from $991.3 million in fiscal year 2019 to $958.4 million in fiscal year 2020, we improved our net income attributable to stockholders by 32% to $89.5 million. During the first fiscal quarter ended March 31, 2020, COVID-19 did not have a significant impact on our business, however, in subsequent quarters, COVID-19 materially impacted us. Among other actions in 2020, we adapted delivery for our clients to a work from home model; took actions in response to the pandemic that focused on helping our employees; and implemented a series of cost reduction measures. For more information regarding these and other business highlights, please see Pages 63 to 65 below and the 2020 Form 10-K.</w:t>
      </w:r>
    </w:p>
    <w:p>
      <w:pPr>
        <w:spacing w:after="0" w:line="151"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The graphs below compare our 1-year, 3-year and 5-year cumulative total stockholder return ("TSR") as of December 31, 2020 with the median TSR for companies comprising Nasdaq, S&amp;P 600 and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93345</wp:posOffset>
            </wp:positionV>
            <wp:extent cx="5002530" cy="1204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02530" cy="120459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1495425</wp:posOffset>
            </wp:positionV>
            <wp:extent cx="1408430" cy="333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940"/>
        <w:spacing w:after="0"/>
        <w:rPr>
          <w:sz w:val="20"/>
          <w:szCs w:val="20"/>
          <w:color w:val="auto"/>
        </w:rPr>
      </w:pPr>
      <w:r>
        <w:rPr>
          <w:rFonts w:ascii="Arial" w:cs="Arial" w:eastAsia="Arial" w:hAnsi="Arial"/>
          <w:sz w:val="13"/>
          <w:szCs w:val="13"/>
          <w:color w:val="FFFFFE"/>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2021 PROXY STATEMENT SUMMARY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FF4000"/>
        </w:rPr>
        <w:t>OUR PURPOSE AND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6009640" cy="6151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09640" cy="615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0159"/>
          </w:cols>
          <w:pgMar w:left="300" w:top="142" w:right="1440"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2021 PROXY STATEMENT SUMMARY</w:t>
      </w:r>
    </w:p>
    <w:p>
      <w:pPr>
        <w:spacing w:after="0" w:line="168" w:lineRule="exact"/>
        <w:rPr>
          <w:sz w:val="20"/>
          <w:szCs w:val="20"/>
          <w:color w:val="auto"/>
        </w:rPr>
      </w:pPr>
    </w:p>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4699000</wp:posOffset>
            </wp:positionH>
            <wp:positionV relativeFrom="paragraph">
              <wp:posOffset>95250</wp:posOffset>
            </wp:positionV>
            <wp:extent cx="1748155" cy="55587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48155" cy="5558790"/>
                    </a:xfrm>
                    <a:prstGeom prst="rect">
                      <a:avLst/>
                    </a:prstGeom>
                    <a:noFill/>
                  </pic:spPr>
                </pic:pic>
              </a:graphicData>
            </a:graphic>
          </wp:anchor>
        </w:drawing>
      </w:r>
    </w:p>
    <w:p>
      <w:pPr>
        <w:spacing w:after="0" w:line="132" w:lineRule="exact"/>
        <w:rPr>
          <w:sz w:val="20"/>
          <w:szCs w:val="20"/>
          <w:color w:val="auto"/>
        </w:rPr>
      </w:pPr>
    </w:p>
    <w:p>
      <w:pPr>
        <w:ind w:left="1140"/>
        <w:spacing w:after="0"/>
        <w:rPr>
          <w:sz w:val="20"/>
          <w:szCs w:val="20"/>
          <w:color w:val="auto"/>
        </w:rPr>
      </w:pPr>
      <w:r>
        <w:rPr>
          <w:rFonts w:ascii="Arial" w:cs="Arial" w:eastAsia="Arial" w:hAnsi="Arial"/>
          <w:sz w:val="13"/>
          <w:szCs w:val="13"/>
          <w:color w:val="FF4000"/>
        </w:rPr>
        <w:t>CORPORATE GOVERNANCE HIGHLIGHTS</w:t>
      </w:r>
    </w:p>
    <w:p>
      <w:pPr>
        <w:spacing w:after="0" w:line="152" w:lineRule="exact"/>
        <w:rPr>
          <w:sz w:val="20"/>
          <w:szCs w:val="20"/>
          <w:color w:val="auto"/>
        </w:rPr>
      </w:pPr>
    </w:p>
    <w:p>
      <w:pPr>
        <w:ind w:left="1140" w:right="4060"/>
        <w:spacing w:after="0" w:line="239" w:lineRule="auto"/>
        <w:rPr>
          <w:sz w:val="20"/>
          <w:szCs w:val="20"/>
          <w:color w:val="auto"/>
        </w:rPr>
      </w:pPr>
      <w:r>
        <w:rPr>
          <w:rFonts w:ascii="Arial" w:cs="Arial" w:eastAsia="Arial" w:hAnsi="Arial"/>
          <w:sz w:val="13"/>
          <w:szCs w:val="13"/>
          <w:color w:val="auto"/>
        </w:rPr>
        <w:t>Based on current board profile and practices (including our nine director nominees, and our two directors who currently serve on our board, but will not be standing for reelection)</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479EFF"/>
        </w:rPr>
        <w:t>Board of Directors Composition</w:t>
      </w:r>
    </w:p>
    <w:p>
      <w:pPr>
        <w:spacing w:after="0" w:line="158" w:lineRule="exact"/>
        <w:rPr>
          <w:sz w:val="20"/>
          <w:szCs w:val="20"/>
          <w:color w:val="auto"/>
        </w:rPr>
      </w:pPr>
    </w:p>
    <w:p>
      <w:pPr>
        <w:ind w:left="1400" w:hanging="140"/>
        <w:spacing w:after="0"/>
        <w:tabs>
          <w:tab w:leader="none" w:pos="1400" w:val="left"/>
        </w:tabs>
        <w:numPr>
          <w:ilvl w:val="0"/>
          <w:numId w:val="7"/>
        </w:numPr>
        <w:rPr>
          <w:rFonts w:ascii="Arial" w:cs="Arial" w:eastAsia="Arial" w:hAnsi="Arial"/>
          <w:sz w:val="13"/>
          <w:szCs w:val="13"/>
          <w:color w:val="FF4000"/>
        </w:rPr>
      </w:pPr>
      <w:r>
        <w:rPr>
          <w:rFonts w:ascii="Arial" w:cs="Arial" w:eastAsia="Arial" w:hAnsi="Arial"/>
          <w:sz w:val="13"/>
          <w:szCs w:val="13"/>
          <w:color w:val="auto"/>
        </w:rPr>
        <w:t>11 directors, all of whom are independent, except for our Vice Chairman and CEO</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7"/>
        </w:numPr>
        <w:rPr>
          <w:rFonts w:ascii="Arial" w:cs="Arial" w:eastAsia="Arial" w:hAnsi="Arial"/>
          <w:sz w:val="13"/>
          <w:szCs w:val="13"/>
          <w:color w:val="FF4000"/>
        </w:rPr>
      </w:pPr>
      <w:r>
        <w:rPr>
          <w:rFonts w:ascii="Arial" w:cs="Arial" w:eastAsia="Arial" w:hAnsi="Arial"/>
          <w:sz w:val="13"/>
          <w:szCs w:val="13"/>
          <w:color w:val="auto"/>
        </w:rPr>
        <w:t>Independent board chairman</w:t>
      </w:r>
    </w:p>
    <w:p>
      <w:pPr>
        <w:spacing w:after="0" w:line="142" w:lineRule="exact"/>
        <w:rPr>
          <w:rFonts w:ascii="Arial" w:cs="Arial" w:eastAsia="Arial" w:hAnsi="Arial"/>
          <w:sz w:val="13"/>
          <w:szCs w:val="13"/>
          <w:color w:val="FF4000"/>
        </w:rPr>
      </w:pPr>
    </w:p>
    <w:p>
      <w:pPr>
        <w:ind w:left="1400" w:right="4020" w:hanging="140"/>
        <w:spacing w:after="0" w:line="237" w:lineRule="auto"/>
        <w:tabs>
          <w:tab w:leader="none" w:pos="1400" w:val="left"/>
        </w:tabs>
        <w:numPr>
          <w:ilvl w:val="0"/>
          <w:numId w:val="7"/>
        </w:numPr>
        <w:rPr>
          <w:rFonts w:ascii="Arial" w:cs="Arial" w:eastAsia="Arial" w:hAnsi="Arial"/>
          <w:sz w:val="13"/>
          <w:szCs w:val="13"/>
          <w:color w:val="FF4000"/>
        </w:rPr>
      </w:pPr>
      <w:r>
        <w:rPr>
          <w:rFonts w:ascii="Arial" w:cs="Arial" w:eastAsia="Arial" w:hAnsi="Arial"/>
          <w:sz w:val="13"/>
          <w:szCs w:val="13"/>
          <w:color w:val="auto"/>
        </w:rPr>
        <w:t>Seasoned board of directors, with diverse experience, including in human capital management, corporate sustainability, insurance, healthcare, utilities, consulting, banking and financial services, finance/accounting, global business and technology</w:t>
      </w:r>
    </w:p>
    <w:p>
      <w:pPr>
        <w:spacing w:after="0" w:line="140" w:lineRule="exact"/>
        <w:rPr>
          <w:rFonts w:ascii="Arial" w:cs="Arial" w:eastAsia="Arial" w:hAnsi="Arial"/>
          <w:sz w:val="13"/>
          <w:szCs w:val="13"/>
          <w:color w:val="FF4000"/>
        </w:rPr>
      </w:pPr>
    </w:p>
    <w:p>
      <w:pPr>
        <w:ind w:left="1400" w:hanging="140"/>
        <w:spacing w:after="0"/>
        <w:tabs>
          <w:tab w:leader="none" w:pos="1400" w:val="left"/>
        </w:tabs>
        <w:numPr>
          <w:ilvl w:val="0"/>
          <w:numId w:val="7"/>
        </w:numPr>
        <w:rPr>
          <w:rFonts w:ascii="Arial" w:cs="Arial" w:eastAsia="Arial" w:hAnsi="Arial"/>
          <w:sz w:val="13"/>
          <w:szCs w:val="13"/>
          <w:color w:val="FF4000"/>
        </w:rPr>
      </w:pPr>
      <w:r>
        <w:rPr>
          <w:rFonts w:ascii="Arial" w:cs="Arial" w:eastAsia="Arial" w:hAnsi="Arial"/>
          <w:sz w:val="13"/>
          <w:szCs w:val="13"/>
          <w:color w:val="auto"/>
        </w:rPr>
        <w:t>Diversity in age, ethnicity, gender and other important characteristics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7"/>
        </w:numPr>
        <w:rPr>
          <w:rFonts w:ascii="Arial" w:cs="Arial" w:eastAsia="Arial" w:hAnsi="Arial"/>
          <w:sz w:val="13"/>
          <w:szCs w:val="13"/>
          <w:color w:val="FF4000"/>
        </w:rPr>
      </w:pPr>
      <w:r>
        <w:rPr>
          <w:rFonts w:ascii="Arial" w:cs="Arial" w:eastAsia="Arial" w:hAnsi="Arial"/>
          <w:sz w:val="13"/>
          <w:szCs w:val="13"/>
          <w:color w:val="auto"/>
        </w:rPr>
        <w:t>Declassified board</w:t>
      </w:r>
    </w:p>
    <w:p>
      <w:pPr>
        <w:spacing w:after="0" w:line="136"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479EFF"/>
        </w:rPr>
        <w:t>Board Accountability</w:t>
      </w:r>
    </w:p>
    <w:p>
      <w:pPr>
        <w:spacing w:after="0" w:line="158" w:lineRule="exact"/>
        <w:rPr>
          <w:sz w:val="20"/>
          <w:szCs w:val="20"/>
          <w:color w:val="auto"/>
        </w:rPr>
      </w:pPr>
    </w:p>
    <w:p>
      <w:pPr>
        <w:ind w:left="1400" w:hanging="140"/>
        <w:spacing w:after="0"/>
        <w:tabs>
          <w:tab w:leader="none" w:pos="1400" w:val="left"/>
        </w:tabs>
        <w:numPr>
          <w:ilvl w:val="0"/>
          <w:numId w:val="8"/>
        </w:numPr>
        <w:rPr>
          <w:rFonts w:ascii="Arial" w:cs="Arial" w:eastAsia="Arial" w:hAnsi="Arial"/>
          <w:sz w:val="13"/>
          <w:szCs w:val="13"/>
          <w:color w:val="FF4000"/>
        </w:rPr>
      </w:pPr>
      <w:r>
        <w:rPr>
          <w:rFonts w:ascii="Arial" w:cs="Arial" w:eastAsia="Arial" w:hAnsi="Arial"/>
          <w:sz w:val="13"/>
          <w:szCs w:val="13"/>
          <w:color w:val="auto"/>
        </w:rPr>
        <w:t>Majority voting standard for uncontested elections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8"/>
        </w:numPr>
        <w:rPr>
          <w:rFonts w:ascii="Arial" w:cs="Arial" w:eastAsia="Arial" w:hAnsi="Arial"/>
          <w:sz w:val="13"/>
          <w:szCs w:val="13"/>
          <w:color w:val="FF4000"/>
        </w:rPr>
      </w:pPr>
      <w:r>
        <w:rPr>
          <w:rFonts w:ascii="Arial" w:cs="Arial" w:eastAsia="Arial" w:hAnsi="Arial"/>
          <w:sz w:val="13"/>
          <w:szCs w:val="13"/>
          <w:color w:val="auto"/>
        </w:rPr>
        <w:t>Annual board- and committee-level evaluations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8"/>
        </w:numPr>
        <w:rPr>
          <w:rFonts w:ascii="Arial" w:cs="Arial" w:eastAsia="Arial" w:hAnsi="Arial"/>
          <w:sz w:val="13"/>
          <w:szCs w:val="13"/>
          <w:color w:val="FF4000"/>
        </w:rPr>
      </w:pPr>
      <w:r>
        <w:rPr>
          <w:rFonts w:ascii="Arial" w:cs="Arial" w:eastAsia="Arial" w:hAnsi="Arial"/>
          <w:sz w:val="13"/>
          <w:szCs w:val="13"/>
          <w:color w:val="auto"/>
        </w:rPr>
        <w:t>Regularly-held executive session of non-management directors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8"/>
        </w:numPr>
        <w:rPr>
          <w:rFonts w:ascii="Arial" w:cs="Arial" w:eastAsia="Arial" w:hAnsi="Arial"/>
          <w:sz w:val="13"/>
          <w:szCs w:val="13"/>
          <w:color w:val="FF4000"/>
        </w:rPr>
      </w:pPr>
      <w:r>
        <w:rPr>
          <w:rFonts w:ascii="Arial" w:cs="Arial" w:eastAsia="Arial" w:hAnsi="Arial"/>
          <w:sz w:val="13"/>
          <w:szCs w:val="13"/>
          <w:color w:val="auto"/>
        </w:rPr>
        <w:t>Robust executive and director equity ownership guidelines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8"/>
        </w:numPr>
        <w:rPr>
          <w:rFonts w:ascii="Arial" w:cs="Arial" w:eastAsia="Arial" w:hAnsi="Arial"/>
          <w:sz w:val="13"/>
          <w:szCs w:val="13"/>
          <w:color w:val="FF4000"/>
        </w:rPr>
      </w:pPr>
      <w:r>
        <w:rPr>
          <w:rFonts w:ascii="Arial" w:cs="Arial" w:eastAsia="Arial" w:hAnsi="Arial"/>
          <w:sz w:val="13"/>
          <w:szCs w:val="13"/>
          <w:color w:val="auto"/>
        </w:rPr>
        <w:t>Independent board of directors evaluation of CEO performance and compensation</w:t>
      </w:r>
    </w:p>
    <w:p>
      <w:pPr>
        <w:spacing w:after="0" w:line="136"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479EFF"/>
        </w:rPr>
        <w:t>Governance Practices</w:t>
      </w:r>
    </w:p>
    <w:p>
      <w:pPr>
        <w:spacing w:after="0" w:line="158" w:lineRule="exact"/>
        <w:rPr>
          <w:sz w:val="20"/>
          <w:szCs w:val="20"/>
          <w:color w:val="auto"/>
        </w:rPr>
      </w:pPr>
    </w:p>
    <w:p>
      <w:pPr>
        <w:ind w:left="1400" w:hanging="140"/>
        <w:spacing w:after="0"/>
        <w:tabs>
          <w:tab w:leader="none" w:pos="1400" w:val="left"/>
        </w:tabs>
        <w:numPr>
          <w:ilvl w:val="0"/>
          <w:numId w:val="9"/>
        </w:numPr>
        <w:rPr>
          <w:rFonts w:ascii="Arial" w:cs="Arial" w:eastAsia="Arial" w:hAnsi="Arial"/>
          <w:sz w:val="13"/>
          <w:szCs w:val="13"/>
          <w:color w:val="FF4000"/>
        </w:rPr>
      </w:pPr>
      <w:r>
        <w:rPr>
          <w:rFonts w:ascii="Arial" w:cs="Arial" w:eastAsia="Arial" w:hAnsi="Arial"/>
          <w:sz w:val="13"/>
          <w:szCs w:val="13"/>
          <w:color w:val="auto"/>
        </w:rPr>
        <w:t>Regular executive sessions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9"/>
        </w:numPr>
        <w:rPr>
          <w:rFonts w:ascii="Arial" w:cs="Arial" w:eastAsia="Arial" w:hAnsi="Arial"/>
          <w:sz w:val="13"/>
          <w:szCs w:val="13"/>
          <w:color w:val="FF4000"/>
        </w:rPr>
      </w:pPr>
      <w:r>
        <w:rPr>
          <w:rFonts w:ascii="Arial" w:cs="Arial" w:eastAsia="Arial" w:hAnsi="Arial"/>
          <w:sz w:val="13"/>
          <w:szCs w:val="13"/>
          <w:color w:val="auto"/>
        </w:rPr>
        <w:t>Standing board committees composed solely of independent chairs and members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9"/>
        </w:numPr>
        <w:rPr>
          <w:rFonts w:ascii="Arial" w:cs="Arial" w:eastAsia="Arial" w:hAnsi="Arial"/>
          <w:sz w:val="13"/>
          <w:szCs w:val="13"/>
          <w:color w:val="FF4000"/>
        </w:rPr>
      </w:pPr>
      <w:r>
        <w:rPr>
          <w:rFonts w:ascii="Arial" w:cs="Arial" w:eastAsia="Arial" w:hAnsi="Arial"/>
          <w:sz w:val="13"/>
          <w:szCs w:val="13"/>
          <w:color w:val="auto"/>
        </w:rPr>
        <w:t>Equity ownership guidelines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9"/>
        </w:numPr>
        <w:rPr>
          <w:rFonts w:ascii="Arial" w:cs="Arial" w:eastAsia="Arial" w:hAnsi="Arial"/>
          <w:sz w:val="13"/>
          <w:szCs w:val="13"/>
          <w:color w:val="FF4000"/>
        </w:rPr>
      </w:pPr>
      <w:r>
        <w:rPr>
          <w:rFonts w:ascii="Arial" w:cs="Arial" w:eastAsia="Arial" w:hAnsi="Arial"/>
          <w:sz w:val="13"/>
          <w:szCs w:val="13"/>
          <w:color w:val="auto"/>
        </w:rPr>
        <w:t>Independent compensation consultant</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9"/>
        </w:numPr>
        <w:rPr>
          <w:rFonts w:ascii="Arial" w:cs="Arial" w:eastAsia="Arial" w:hAnsi="Arial"/>
          <w:sz w:val="13"/>
          <w:szCs w:val="13"/>
          <w:color w:val="FF4000"/>
        </w:rPr>
      </w:pPr>
      <w:r>
        <w:rPr>
          <w:rFonts w:ascii="Arial" w:cs="Arial" w:eastAsia="Arial" w:hAnsi="Arial"/>
          <w:sz w:val="13"/>
          <w:szCs w:val="13"/>
          <w:color w:val="auto"/>
        </w:rPr>
        <w:t>Board risk oversight and assessment</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9"/>
        </w:numPr>
        <w:rPr>
          <w:rFonts w:ascii="Arial" w:cs="Arial" w:eastAsia="Arial" w:hAnsi="Arial"/>
          <w:sz w:val="13"/>
          <w:szCs w:val="13"/>
          <w:color w:val="FF4000"/>
        </w:rPr>
      </w:pPr>
      <w:r>
        <w:rPr>
          <w:rFonts w:ascii="Arial" w:cs="Arial" w:eastAsia="Arial" w:hAnsi="Arial"/>
          <w:sz w:val="13"/>
          <w:szCs w:val="13"/>
          <w:color w:val="auto"/>
        </w:rPr>
        <w:t>Board committee oversight over sustainability efforts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9"/>
        </w:numPr>
        <w:rPr>
          <w:rFonts w:ascii="Arial" w:cs="Arial" w:eastAsia="Arial" w:hAnsi="Arial"/>
          <w:sz w:val="13"/>
          <w:szCs w:val="13"/>
          <w:color w:val="FF4000"/>
        </w:rPr>
      </w:pPr>
      <w:r>
        <w:rPr>
          <w:rFonts w:ascii="Arial" w:cs="Arial" w:eastAsia="Arial" w:hAnsi="Arial"/>
          <w:sz w:val="13"/>
          <w:szCs w:val="13"/>
          <w:color w:val="auto"/>
        </w:rPr>
        <w:t>Director training and education</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9"/>
        </w:numPr>
        <w:rPr>
          <w:rFonts w:ascii="Arial" w:cs="Arial" w:eastAsia="Arial" w:hAnsi="Arial"/>
          <w:sz w:val="13"/>
          <w:szCs w:val="13"/>
          <w:color w:val="FF4000"/>
        </w:rPr>
      </w:pPr>
      <w:r>
        <w:rPr>
          <w:rFonts w:ascii="Arial" w:cs="Arial" w:eastAsia="Arial" w:hAnsi="Arial"/>
          <w:sz w:val="13"/>
          <w:szCs w:val="13"/>
          <w:color w:val="auto"/>
        </w:rPr>
        <w:t>Simultaneous service restrictions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9"/>
        </w:numPr>
        <w:rPr>
          <w:rFonts w:ascii="Arial" w:cs="Arial" w:eastAsia="Arial" w:hAnsi="Arial"/>
          <w:sz w:val="13"/>
          <w:szCs w:val="13"/>
          <w:color w:val="FF4000"/>
        </w:rPr>
      </w:pPr>
      <w:r>
        <w:rPr>
          <w:rFonts w:ascii="Arial" w:cs="Arial" w:eastAsia="Arial" w:hAnsi="Arial"/>
          <w:sz w:val="13"/>
          <w:szCs w:val="13"/>
          <w:color w:val="auto"/>
        </w:rPr>
        <w:t>Active stockholder engagement program addressing strategy, performance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1095375</wp:posOffset>
            </wp:positionV>
            <wp:extent cx="1408430" cy="333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2021 PROXY STATEMENT SUMMARY</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479EFF"/>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12700</wp:posOffset>
            </wp:positionV>
            <wp:extent cx="1710690" cy="2637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0690" cy="2637155"/>
                    </a:xfrm>
                    <a:prstGeom prst="rect">
                      <a:avLst/>
                    </a:prstGeom>
                    <a:noFill/>
                  </pic:spPr>
                </pic:pic>
              </a:graphicData>
            </a:graphic>
          </wp:anchor>
        </w:drawing>
      </w:r>
    </w:p>
    <w:p>
      <w:pPr>
        <w:spacing w:after="0" w:line="148" w:lineRule="exact"/>
        <w:rPr>
          <w:sz w:val="20"/>
          <w:szCs w:val="20"/>
          <w:color w:val="auto"/>
        </w:rPr>
      </w:pPr>
    </w:p>
    <w:p>
      <w:pPr>
        <w:ind w:left="1140" w:right="3960"/>
        <w:spacing w:after="0" w:line="239" w:lineRule="auto"/>
        <w:rPr>
          <w:sz w:val="20"/>
          <w:szCs w:val="20"/>
          <w:color w:val="auto"/>
        </w:rPr>
      </w:pPr>
      <w:r>
        <w:rPr>
          <w:rFonts w:ascii="Arial" w:cs="Arial" w:eastAsia="Arial" w:hAnsi="Arial"/>
          <w:sz w:val="13"/>
          <w:szCs w:val="13"/>
          <w:color w:val="auto"/>
        </w:rPr>
        <w:t>Our board of directors reflects an effective and diverse mix of skills, background and experience appropriate for our Company and industry. Our directors have the following attributes:</w:t>
      </w:r>
    </w:p>
    <w:p>
      <w:pPr>
        <w:spacing w:after="0" w:line="218" w:lineRule="exact"/>
        <w:rPr>
          <w:sz w:val="20"/>
          <w:szCs w:val="20"/>
          <w:color w:val="auto"/>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Executive Leadership Experience</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Board Experience</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Finance and Accounting Expertise</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Client and Industry Expertise</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Global Experience</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Risk Oversight/Management Expertise</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Human Capital Management Expertise</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Diverse Backgrounds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Experience in Environmental, Social and Governance Matters</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Strategic Insight</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Commitment to Accountability, Excellence and Continuous Improvement</w:t>
      </w:r>
    </w:p>
    <w:p>
      <w:pPr>
        <w:spacing w:after="0" w:line="142" w:lineRule="exact"/>
        <w:rPr>
          <w:rFonts w:ascii="Arial" w:cs="Arial" w:eastAsia="Arial" w:hAnsi="Arial"/>
          <w:sz w:val="13"/>
          <w:szCs w:val="13"/>
          <w:color w:val="FF4000"/>
        </w:rPr>
      </w:pPr>
    </w:p>
    <w:p>
      <w:pPr>
        <w:ind w:left="1400" w:hanging="140"/>
        <w:spacing w:after="0"/>
        <w:tabs>
          <w:tab w:leader="none" w:pos="1400" w:val="left"/>
        </w:tabs>
        <w:numPr>
          <w:ilvl w:val="0"/>
          <w:numId w:val="10"/>
        </w:numPr>
        <w:rPr>
          <w:rFonts w:ascii="Arial" w:cs="Arial" w:eastAsia="Arial" w:hAnsi="Arial"/>
          <w:sz w:val="13"/>
          <w:szCs w:val="13"/>
          <w:color w:val="FF4000"/>
        </w:rPr>
      </w:pPr>
      <w:r>
        <w:rPr>
          <w:rFonts w:ascii="Arial" w:cs="Arial" w:eastAsia="Arial" w:hAnsi="Arial"/>
          <w:sz w:val="13"/>
          <w:szCs w:val="13"/>
          <w:color w:val="auto"/>
        </w:rPr>
        <w:t>Commitment to Driving our Growth and Success</w:t>
      </w: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179070</wp:posOffset>
            </wp:positionV>
            <wp:extent cx="228600" cy="228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253365</wp:posOffset>
            </wp:positionV>
            <wp:extent cx="228600" cy="228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179070</wp:posOffset>
            </wp:positionV>
            <wp:extent cx="228600" cy="228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327660</wp:posOffset>
            </wp:positionV>
            <wp:extent cx="228600" cy="228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179070</wp:posOffset>
            </wp:positionV>
            <wp:extent cx="228600" cy="228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253365</wp:posOffset>
            </wp:positionV>
            <wp:extent cx="228600" cy="228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5427345</wp:posOffset>
            </wp:positionH>
            <wp:positionV relativeFrom="paragraph">
              <wp:posOffset>179070</wp:posOffset>
            </wp:positionV>
            <wp:extent cx="228600" cy="228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253365</wp:posOffset>
            </wp:positionV>
            <wp:extent cx="228600" cy="228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105410</wp:posOffset>
            </wp:positionV>
            <wp:extent cx="228600" cy="228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8600" cy="2286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4"/>
              </w:rPr>
              <w:t>Risk</w:t>
            </w:r>
          </w:p>
        </w:tc>
      </w:tr>
      <w:tr>
        <w:trPr>
          <w:trHeight w:val="117"/>
        </w:trPr>
        <w:tc>
          <w:tcPr>
            <w:tcW w:w="1380" w:type="dxa"/>
            <w:vAlign w:val="bottom"/>
          </w:tcPr>
          <w:p>
            <w:pPr>
              <w:spacing w:after="0"/>
              <w:rPr>
                <w:sz w:val="10"/>
                <w:szCs w:val="10"/>
                <w:color w:val="auto"/>
              </w:rPr>
            </w:pPr>
          </w:p>
        </w:tc>
        <w:tc>
          <w:tcPr>
            <w:tcW w:w="1140" w:type="dxa"/>
            <w:vAlign w:val="bottom"/>
          </w:tcPr>
          <w:p>
            <w:pPr>
              <w:jc w:val="center"/>
              <w:ind w:left="148"/>
              <w:spacing w:after="0"/>
              <w:rPr>
                <w:sz w:val="20"/>
                <w:szCs w:val="20"/>
                <w:color w:val="auto"/>
              </w:rPr>
            </w:pPr>
            <w:r>
              <w:rPr>
                <w:rFonts w:ascii="Arial" w:cs="Arial" w:eastAsia="Arial" w:hAnsi="Arial"/>
                <w:sz w:val="10"/>
                <w:szCs w:val="10"/>
                <w:b w:val="1"/>
                <w:bCs w:val="1"/>
                <w:color w:val="auto"/>
              </w:rPr>
              <w:t>Finance</w:t>
            </w:r>
          </w:p>
        </w:tc>
        <w:tc>
          <w:tcPr>
            <w:tcW w:w="94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9"/>
              </w:rPr>
              <w:t>Public</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rPr>
              <w:t>Human</w:t>
            </w:r>
          </w:p>
        </w:tc>
        <w:tc>
          <w:tcPr>
            <w:tcW w:w="104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Marketing</w:t>
            </w:r>
          </w:p>
        </w:tc>
        <w:tc>
          <w:tcPr>
            <w:tcW w:w="104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rPr>
              <w:t>Oversight</w:t>
            </w:r>
          </w:p>
        </w:tc>
      </w:tr>
      <w:tr>
        <w:trPr>
          <w:trHeight w:val="117"/>
        </w:trPr>
        <w:tc>
          <w:tcPr>
            <w:tcW w:w="1380" w:type="dxa"/>
            <w:vAlign w:val="bottom"/>
          </w:tcPr>
          <w:p>
            <w:pPr>
              <w:spacing w:after="0"/>
              <w:rPr>
                <w:sz w:val="10"/>
                <w:szCs w:val="10"/>
                <w:color w:val="auto"/>
              </w:rPr>
            </w:pPr>
          </w:p>
        </w:tc>
        <w:tc>
          <w:tcPr>
            <w:tcW w:w="1140" w:type="dxa"/>
            <w:vAlign w:val="bottom"/>
          </w:tcPr>
          <w:p>
            <w:pPr>
              <w:jc w:val="center"/>
              <w:ind w:left="148"/>
              <w:spacing w:after="0"/>
              <w:rPr>
                <w:sz w:val="20"/>
                <w:szCs w:val="20"/>
                <w:color w:val="auto"/>
              </w:rPr>
            </w:pPr>
            <w:r>
              <w:rPr>
                <w:rFonts w:ascii="Arial" w:cs="Arial" w:eastAsia="Arial" w:hAnsi="Arial"/>
                <w:sz w:val="10"/>
                <w:szCs w:val="10"/>
                <w:b w:val="1"/>
                <w:bCs w:val="1"/>
                <w:color w:val="auto"/>
              </w:rPr>
              <w:t>and</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Executive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Company</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rPr>
              <w:t>Capital</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rPr>
              <w:t>Operations</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and</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rPr>
              <w:t>International</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rPr>
              <w:t>and</w:t>
            </w:r>
          </w:p>
        </w:tc>
      </w:tr>
      <w:tr>
        <w:trPr>
          <w:trHeight w:val="134"/>
        </w:trPr>
        <w:tc>
          <w:tcPr>
            <w:tcW w:w="1380" w:type="dxa"/>
            <w:vAlign w:val="bottom"/>
            <w:tcBorders>
              <w:bottom w:val="single" w:sz="8" w:color="479EFF"/>
            </w:tcBorders>
          </w:tcPr>
          <w:p>
            <w:pPr>
              <w:spacing w:after="0"/>
              <w:rPr>
                <w:sz w:val="11"/>
                <w:szCs w:val="11"/>
                <w:color w:val="auto"/>
              </w:rPr>
            </w:pPr>
          </w:p>
        </w:tc>
        <w:tc>
          <w:tcPr>
            <w:tcW w:w="1140" w:type="dxa"/>
            <w:vAlign w:val="bottom"/>
            <w:tcBorders>
              <w:bottom w:val="single" w:sz="8" w:color="479EFF"/>
            </w:tcBorders>
          </w:tcPr>
          <w:p>
            <w:pPr>
              <w:jc w:val="center"/>
              <w:ind w:left="148"/>
              <w:spacing w:after="0"/>
              <w:rPr>
                <w:sz w:val="20"/>
                <w:szCs w:val="20"/>
                <w:color w:val="auto"/>
              </w:rPr>
            </w:pPr>
            <w:r>
              <w:rPr>
                <w:rFonts w:ascii="Arial" w:cs="Arial" w:eastAsia="Arial" w:hAnsi="Arial"/>
                <w:sz w:val="10"/>
                <w:szCs w:val="10"/>
                <w:b w:val="1"/>
                <w:bCs w:val="1"/>
                <w:color w:val="auto"/>
              </w:rPr>
              <w:t>Accounting</w:t>
            </w:r>
          </w:p>
        </w:tc>
        <w:tc>
          <w:tcPr>
            <w:tcW w:w="94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auto"/>
              </w:rPr>
              <w:t>Leadership</w:t>
            </w:r>
          </w:p>
        </w:tc>
        <w:tc>
          <w:tcPr>
            <w:tcW w:w="98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auto"/>
              </w:rPr>
              <w:t>Governance</w:t>
            </w:r>
          </w:p>
        </w:tc>
        <w:tc>
          <w:tcPr>
            <w:tcW w:w="96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auto"/>
              </w:rPr>
              <w:t>Technology</w:t>
            </w:r>
          </w:p>
        </w:tc>
        <w:tc>
          <w:tcPr>
            <w:tcW w:w="82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auto"/>
              </w:rPr>
              <w:t>Analytics</w:t>
            </w:r>
          </w:p>
        </w:tc>
        <w:tc>
          <w:tcPr>
            <w:tcW w:w="104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auto"/>
              </w:rPr>
              <w:t>Management</w:t>
            </w:r>
          </w:p>
        </w:tc>
        <w:tc>
          <w:tcPr>
            <w:tcW w:w="104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auto"/>
              </w:rPr>
              <w:t>Management</w:t>
            </w:r>
          </w:p>
        </w:tc>
        <w:tc>
          <w:tcPr>
            <w:tcW w:w="88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auto"/>
              </w:rPr>
              <w:t>Branding</w:t>
            </w:r>
          </w:p>
        </w:tc>
        <w:tc>
          <w:tcPr>
            <w:tcW w:w="104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auto"/>
              </w:rPr>
              <w:t>Companies</w:t>
            </w:r>
          </w:p>
        </w:tc>
        <w:tc>
          <w:tcPr>
            <w:tcW w:w="108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auto"/>
              </w:rPr>
              <w:t>Management</w:t>
            </w:r>
          </w:p>
        </w:tc>
      </w:tr>
      <w:tr>
        <w:trPr>
          <w:trHeight w:val="409"/>
        </w:trPr>
        <w:tc>
          <w:tcPr>
            <w:tcW w:w="1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Garen Staglin</w:t>
            </w:r>
          </w:p>
        </w:tc>
        <w:tc>
          <w:tcPr>
            <w:tcW w:w="1140" w:type="dxa"/>
            <w:vAlign w:val="bottom"/>
            <w:tcBorders>
              <w:bottom w:val="single" w:sz="8" w:color="auto"/>
            </w:tcBorders>
          </w:tcPr>
          <w:p>
            <w:pPr>
              <w:jc w:val="center"/>
              <w:ind w:left="148"/>
              <w:spacing w:after="0" w:line="101" w:lineRule="exact"/>
              <w:rPr>
                <w:sz w:val="20"/>
                <w:szCs w:val="20"/>
                <w:color w:val="auto"/>
              </w:rPr>
            </w:pPr>
            <w:r>
              <w:rPr>
                <w:rFonts w:ascii="MS PGothic" w:cs="MS PGothic" w:eastAsia="MS PGothic" w:hAnsi="MS PGothic"/>
                <w:sz w:val="10"/>
                <w:szCs w:val="10"/>
                <w:color w:val="auto"/>
                <w:w w:val="99"/>
              </w:rPr>
              <w:t>✓</w:t>
            </w:r>
          </w:p>
        </w:tc>
        <w:tc>
          <w:tcPr>
            <w:tcW w:w="9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8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06"/>
        </w:trPr>
        <w:tc>
          <w:tcPr>
            <w:tcW w:w="1380" w:type="dxa"/>
            <w:vAlign w:val="bottom"/>
            <w:tcBorders>
              <w:bottom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Rohit Kapoor</w:t>
            </w:r>
          </w:p>
        </w:tc>
        <w:tc>
          <w:tcPr>
            <w:tcW w:w="1140" w:type="dxa"/>
            <w:vAlign w:val="bottom"/>
            <w:tcBorders>
              <w:bottom w:val="single" w:sz="8" w:color="auto"/>
            </w:tcBorders>
          </w:tcPr>
          <w:p>
            <w:pPr>
              <w:jc w:val="center"/>
              <w:ind w:left="148"/>
              <w:spacing w:after="0" w:line="101" w:lineRule="exact"/>
              <w:rPr>
                <w:sz w:val="20"/>
                <w:szCs w:val="20"/>
                <w:color w:val="auto"/>
              </w:rPr>
            </w:pPr>
            <w:r>
              <w:rPr>
                <w:rFonts w:ascii="MS PGothic" w:cs="MS PGothic" w:eastAsia="MS PGothic" w:hAnsi="MS PGothic"/>
                <w:sz w:val="10"/>
                <w:szCs w:val="10"/>
                <w:color w:val="auto"/>
                <w:w w:val="99"/>
              </w:rPr>
              <w:t>✓</w:t>
            </w:r>
          </w:p>
        </w:tc>
        <w:tc>
          <w:tcPr>
            <w:tcW w:w="9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2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8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06"/>
        </w:trPr>
        <w:tc>
          <w:tcPr>
            <w:tcW w:w="1380" w:type="dxa"/>
            <w:vAlign w:val="bottom"/>
            <w:tcBorders>
              <w:bottom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David Kelso</w:t>
            </w:r>
          </w:p>
        </w:tc>
        <w:tc>
          <w:tcPr>
            <w:tcW w:w="1140" w:type="dxa"/>
            <w:vAlign w:val="bottom"/>
            <w:tcBorders>
              <w:bottom w:val="single" w:sz="8" w:color="auto"/>
            </w:tcBorders>
          </w:tcPr>
          <w:p>
            <w:pPr>
              <w:jc w:val="center"/>
              <w:ind w:left="148"/>
              <w:spacing w:after="0" w:line="101" w:lineRule="exact"/>
              <w:rPr>
                <w:sz w:val="20"/>
                <w:szCs w:val="20"/>
                <w:color w:val="auto"/>
              </w:rPr>
            </w:pPr>
            <w:r>
              <w:rPr>
                <w:rFonts w:ascii="MS PGothic" w:cs="MS PGothic" w:eastAsia="MS PGothic" w:hAnsi="MS PGothic"/>
                <w:sz w:val="10"/>
                <w:szCs w:val="10"/>
                <w:color w:val="auto"/>
                <w:w w:val="99"/>
              </w:rPr>
              <w:t>✓</w:t>
            </w:r>
          </w:p>
        </w:tc>
        <w:tc>
          <w:tcPr>
            <w:tcW w:w="9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06"/>
        </w:trPr>
        <w:tc>
          <w:tcPr>
            <w:tcW w:w="1380" w:type="dxa"/>
            <w:vAlign w:val="bottom"/>
            <w:tcBorders>
              <w:bottom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Deborah Kerr</w:t>
            </w:r>
          </w:p>
        </w:tc>
        <w:tc>
          <w:tcPr>
            <w:tcW w:w="1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2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8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06"/>
        </w:trPr>
        <w:tc>
          <w:tcPr>
            <w:tcW w:w="1380" w:type="dxa"/>
            <w:vAlign w:val="bottom"/>
            <w:tcBorders>
              <w:bottom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Anne Minto</w:t>
            </w:r>
          </w:p>
        </w:tc>
        <w:tc>
          <w:tcPr>
            <w:tcW w:w="1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8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06"/>
        </w:trPr>
        <w:tc>
          <w:tcPr>
            <w:tcW w:w="1380" w:type="dxa"/>
            <w:vAlign w:val="bottom"/>
            <w:tcBorders>
              <w:bottom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Som Mittal</w:t>
            </w:r>
          </w:p>
        </w:tc>
        <w:tc>
          <w:tcPr>
            <w:tcW w:w="1140" w:type="dxa"/>
            <w:vAlign w:val="bottom"/>
            <w:tcBorders>
              <w:bottom w:val="single" w:sz="8" w:color="auto"/>
            </w:tcBorders>
          </w:tcPr>
          <w:p>
            <w:pPr>
              <w:jc w:val="center"/>
              <w:ind w:left="148"/>
              <w:spacing w:after="0" w:line="101" w:lineRule="exact"/>
              <w:rPr>
                <w:sz w:val="20"/>
                <w:szCs w:val="20"/>
                <w:color w:val="auto"/>
              </w:rPr>
            </w:pPr>
            <w:r>
              <w:rPr>
                <w:rFonts w:ascii="MS PGothic" w:cs="MS PGothic" w:eastAsia="MS PGothic" w:hAnsi="MS PGothic"/>
                <w:sz w:val="10"/>
                <w:szCs w:val="10"/>
                <w:color w:val="auto"/>
                <w:w w:val="99"/>
              </w:rPr>
              <w:t>✓</w:t>
            </w:r>
          </w:p>
        </w:tc>
        <w:tc>
          <w:tcPr>
            <w:tcW w:w="9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8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06"/>
        </w:trPr>
        <w:tc>
          <w:tcPr>
            <w:tcW w:w="1380" w:type="dxa"/>
            <w:vAlign w:val="bottom"/>
            <w:tcBorders>
              <w:bottom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Clyde Ostler</w:t>
            </w:r>
          </w:p>
        </w:tc>
        <w:tc>
          <w:tcPr>
            <w:tcW w:w="1140" w:type="dxa"/>
            <w:vAlign w:val="bottom"/>
            <w:tcBorders>
              <w:bottom w:val="single" w:sz="8" w:color="auto"/>
            </w:tcBorders>
          </w:tcPr>
          <w:p>
            <w:pPr>
              <w:jc w:val="center"/>
              <w:ind w:left="148"/>
              <w:spacing w:after="0" w:line="101" w:lineRule="exact"/>
              <w:rPr>
                <w:sz w:val="20"/>
                <w:szCs w:val="20"/>
                <w:color w:val="auto"/>
              </w:rPr>
            </w:pPr>
            <w:r>
              <w:rPr>
                <w:rFonts w:ascii="MS PGothic" w:cs="MS PGothic" w:eastAsia="MS PGothic" w:hAnsi="MS PGothic"/>
                <w:sz w:val="10"/>
                <w:szCs w:val="10"/>
                <w:color w:val="auto"/>
                <w:w w:val="99"/>
              </w:rPr>
              <w:t>✓</w:t>
            </w:r>
          </w:p>
        </w:tc>
        <w:tc>
          <w:tcPr>
            <w:tcW w:w="9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8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06"/>
        </w:trPr>
        <w:tc>
          <w:tcPr>
            <w:tcW w:w="1380" w:type="dxa"/>
            <w:vAlign w:val="bottom"/>
            <w:tcBorders>
              <w:bottom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Vikram Pandit</w:t>
            </w:r>
          </w:p>
        </w:tc>
        <w:tc>
          <w:tcPr>
            <w:tcW w:w="1140" w:type="dxa"/>
            <w:vAlign w:val="bottom"/>
            <w:tcBorders>
              <w:bottom w:val="single" w:sz="8" w:color="auto"/>
            </w:tcBorders>
          </w:tcPr>
          <w:p>
            <w:pPr>
              <w:jc w:val="center"/>
              <w:ind w:left="148"/>
              <w:spacing w:after="0" w:line="101" w:lineRule="exact"/>
              <w:rPr>
                <w:sz w:val="20"/>
                <w:szCs w:val="20"/>
                <w:color w:val="auto"/>
              </w:rPr>
            </w:pPr>
            <w:r>
              <w:rPr>
                <w:rFonts w:ascii="MS PGothic" w:cs="MS PGothic" w:eastAsia="MS PGothic" w:hAnsi="MS PGothic"/>
                <w:sz w:val="10"/>
                <w:szCs w:val="10"/>
                <w:color w:val="auto"/>
                <w:w w:val="99"/>
              </w:rPr>
              <w:t>✓</w:t>
            </w:r>
          </w:p>
        </w:tc>
        <w:tc>
          <w:tcPr>
            <w:tcW w:w="9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2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8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06"/>
        </w:trPr>
        <w:tc>
          <w:tcPr>
            <w:tcW w:w="1380" w:type="dxa"/>
            <w:vAlign w:val="bottom"/>
            <w:tcBorders>
              <w:bottom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Kristy Pipes</w:t>
            </w:r>
          </w:p>
        </w:tc>
        <w:tc>
          <w:tcPr>
            <w:tcW w:w="1140" w:type="dxa"/>
            <w:vAlign w:val="bottom"/>
            <w:tcBorders>
              <w:bottom w:val="single" w:sz="8" w:color="auto"/>
            </w:tcBorders>
          </w:tcPr>
          <w:p>
            <w:pPr>
              <w:jc w:val="center"/>
              <w:ind w:left="148"/>
              <w:spacing w:after="0" w:line="101" w:lineRule="exact"/>
              <w:rPr>
                <w:sz w:val="20"/>
                <w:szCs w:val="20"/>
                <w:color w:val="auto"/>
              </w:rPr>
            </w:pPr>
            <w:r>
              <w:rPr>
                <w:rFonts w:ascii="MS PGothic" w:cs="MS PGothic" w:eastAsia="MS PGothic" w:hAnsi="MS PGothic"/>
                <w:sz w:val="10"/>
                <w:szCs w:val="10"/>
                <w:color w:val="auto"/>
                <w:w w:val="99"/>
              </w:rPr>
              <w:t>✓</w:t>
            </w:r>
          </w:p>
        </w:tc>
        <w:tc>
          <w:tcPr>
            <w:tcW w:w="9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2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8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06"/>
        </w:trPr>
        <w:tc>
          <w:tcPr>
            <w:tcW w:w="1380" w:type="dxa"/>
            <w:vAlign w:val="bottom"/>
            <w:tcBorders>
              <w:bottom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Nitin Sahney</w:t>
            </w:r>
          </w:p>
        </w:tc>
        <w:tc>
          <w:tcPr>
            <w:tcW w:w="1140" w:type="dxa"/>
            <w:vAlign w:val="bottom"/>
            <w:tcBorders>
              <w:bottom w:val="single" w:sz="8" w:color="auto"/>
            </w:tcBorders>
          </w:tcPr>
          <w:p>
            <w:pPr>
              <w:jc w:val="center"/>
              <w:ind w:left="148"/>
              <w:spacing w:after="0" w:line="101" w:lineRule="exact"/>
              <w:rPr>
                <w:sz w:val="20"/>
                <w:szCs w:val="20"/>
                <w:color w:val="auto"/>
              </w:rPr>
            </w:pPr>
            <w:r>
              <w:rPr>
                <w:rFonts w:ascii="MS PGothic" w:cs="MS PGothic" w:eastAsia="MS PGothic" w:hAnsi="MS PGothic"/>
                <w:sz w:val="10"/>
                <w:szCs w:val="10"/>
                <w:color w:val="auto"/>
                <w:w w:val="99"/>
              </w:rPr>
              <w:t>✓</w:t>
            </w:r>
          </w:p>
        </w:tc>
        <w:tc>
          <w:tcPr>
            <w:tcW w:w="9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8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16"/>
        </w:trPr>
        <w:tc>
          <w:tcPr>
            <w:tcW w:w="1380" w:type="dxa"/>
            <w:vAlign w:val="bottom"/>
            <w:tcBorders>
              <w:bottom w:val="single" w:sz="8" w:color="479EFF"/>
            </w:tcBorders>
          </w:tcPr>
          <w:p>
            <w:pPr>
              <w:spacing w:after="0" w:line="107" w:lineRule="exact"/>
              <w:rPr>
                <w:sz w:val="20"/>
                <w:szCs w:val="20"/>
                <w:color w:val="auto"/>
              </w:rPr>
            </w:pPr>
            <w:r>
              <w:rPr>
                <w:rFonts w:ascii="Arial" w:cs="Arial" w:eastAsia="Arial" w:hAnsi="Arial"/>
                <w:sz w:val="10"/>
                <w:szCs w:val="10"/>
                <w:b w:val="1"/>
                <w:bCs w:val="1"/>
                <w:color w:val="auto"/>
              </w:rPr>
              <w:t>Jaynie Studenmund</w:t>
            </w:r>
          </w:p>
        </w:tc>
        <w:tc>
          <w:tcPr>
            <w:tcW w:w="1140" w:type="dxa"/>
            <w:vAlign w:val="bottom"/>
            <w:tcBorders>
              <w:bottom w:val="single" w:sz="8" w:color="479EFF"/>
            </w:tcBorders>
          </w:tcPr>
          <w:p>
            <w:pPr>
              <w:jc w:val="center"/>
              <w:ind w:left="148"/>
              <w:spacing w:after="0" w:line="101" w:lineRule="exact"/>
              <w:rPr>
                <w:sz w:val="20"/>
                <w:szCs w:val="20"/>
                <w:color w:val="auto"/>
              </w:rPr>
            </w:pPr>
            <w:r>
              <w:rPr>
                <w:rFonts w:ascii="MS PGothic" w:cs="MS PGothic" w:eastAsia="MS PGothic" w:hAnsi="MS PGothic"/>
                <w:sz w:val="10"/>
                <w:szCs w:val="10"/>
                <w:color w:val="auto"/>
                <w:w w:val="99"/>
              </w:rPr>
              <w:t>✓</w:t>
            </w:r>
          </w:p>
        </w:tc>
        <w:tc>
          <w:tcPr>
            <w:tcW w:w="940" w:type="dxa"/>
            <w:vAlign w:val="bottom"/>
            <w:tcBorders>
              <w:bottom w:val="single" w:sz="8" w:color="479EFF"/>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80" w:type="dxa"/>
            <w:vAlign w:val="bottom"/>
            <w:tcBorders>
              <w:bottom w:val="single" w:sz="8" w:color="479EFF"/>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960" w:type="dxa"/>
            <w:vAlign w:val="bottom"/>
            <w:tcBorders>
              <w:bottom w:val="single" w:sz="8" w:color="479EFF"/>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20" w:type="dxa"/>
            <w:vAlign w:val="bottom"/>
            <w:tcBorders>
              <w:bottom w:val="single" w:sz="8" w:color="479EFF"/>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479EFF"/>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1040" w:type="dxa"/>
            <w:vAlign w:val="bottom"/>
            <w:tcBorders>
              <w:bottom w:val="single" w:sz="8" w:color="479EFF"/>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880" w:type="dxa"/>
            <w:vAlign w:val="bottom"/>
            <w:tcBorders>
              <w:bottom w:val="single" w:sz="8" w:color="479EFF"/>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40" w:type="dxa"/>
            <w:vAlign w:val="bottom"/>
            <w:tcBorders>
              <w:bottom w:val="single" w:sz="8" w:color="479EFF"/>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080" w:type="dxa"/>
            <w:vAlign w:val="bottom"/>
            <w:tcBorders>
              <w:bottom w:val="single" w:sz="8" w:color="479EFF"/>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-1388745</wp:posOffset>
            </wp:positionV>
            <wp:extent cx="203835" cy="2038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3835" cy="2038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197485</wp:posOffset>
            </wp:positionV>
            <wp:extent cx="1408430" cy="333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600" w:type="dxa"/>
            <w:vAlign w:val="bottom"/>
          </w:tcPr>
          <w:p>
            <w:pPr>
              <w:ind w:left="760"/>
              <w:spacing w:after="0"/>
              <w:rPr>
                <w:sz w:val="20"/>
                <w:szCs w:val="20"/>
                <w:color w:val="auto"/>
              </w:rPr>
            </w:pPr>
            <w:r>
              <w:rPr>
                <w:rFonts w:ascii="Arial" w:cs="Arial" w:eastAsia="Arial" w:hAnsi="Arial"/>
                <w:sz w:val="10"/>
                <w:szCs w:val="10"/>
                <w:b w:val="1"/>
                <w:bCs w:val="1"/>
                <w:color w:val="CCD9D9"/>
              </w:rPr>
              <w:t>2021 PROXY STATEMENT SUMMARY</w:t>
            </w:r>
          </w:p>
        </w:tc>
      </w:tr>
      <w:tr>
        <w:trPr>
          <w:trHeight w:val="300"/>
        </w:trPr>
        <w:tc>
          <w:tcPr>
            <w:tcW w:w="3280" w:type="dxa"/>
            <w:vAlign w:val="bottom"/>
            <w:gridSpan w:val="3"/>
          </w:tcPr>
          <w:p>
            <w:pPr>
              <w:spacing w:after="0"/>
              <w:rPr>
                <w:sz w:val="20"/>
                <w:szCs w:val="20"/>
                <w:color w:val="auto"/>
              </w:rPr>
            </w:pPr>
            <w:r>
              <w:rPr>
                <w:rFonts w:ascii="Arial" w:cs="Arial" w:eastAsia="Arial" w:hAnsi="Arial"/>
                <w:sz w:val="13"/>
                <w:szCs w:val="13"/>
                <w:b w:val="1"/>
                <w:bCs w:val="1"/>
                <w:color w:val="FF4000"/>
              </w:rPr>
              <w:t>NOMINEES FOR ELECTION AS DIRECTORS</w:t>
            </w:r>
          </w:p>
        </w:tc>
        <w:tc>
          <w:tcPr>
            <w:tcW w:w="54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jc w:val="center"/>
              <w:ind w:right="57"/>
              <w:spacing w:after="0"/>
              <w:rPr>
                <w:sz w:val="20"/>
                <w:szCs w:val="20"/>
                <w:color w:val="auto"/>
              </w:rPr>
            </w:pPr>
            <w:r>
              <w:rPr>
                <w:rFonts w:ascii="Arial" w:cs="Arial" w:eastAsia="Arial" w:hAnsi="Arial"/>
                <w:sz w:val="13"/>
                <w:szCs w:val="13"/>
                <w:b w:val="1"/>
                <w:bCs w:val="1"/>
                <w:color w:val="479EFF"/>
                <w:w w:val="96"/>
              </w:rPr>
              <w:t>Director</w:t>
            </w:r>
          </w:p>
        </w:tc>
        <w:tc>
          <w:tcPr>
            <w:tcW w:w="5420" w:type="dxa"/>
            <w:vAlign w:val="bottom"/>
          </w:tcPr>
          <w:p>
            <w:pPr>
              <w:spacing w:after="0"/>
              <w:rPr>
                <w:sz w:val="24"/>
                <w:szCs w:val="24"/>
                <w:color w:val="auto"/>
              </w:rPr>
            </w:pPr>
          </w:p>
        </w:tc>
        <w:tc>
          <w:tcPr>
            <w:tcW w:w="2600" w:type="dxa"/>
            <w:vAlign w:val="bottom"/>
          </w:tcPr>
          <w:p>
            <w:pPr>
              <w:ind w:left="1020"/>
              <w:spacing w:after="0"/>
              <w:rPr>
                <w:sz w:val="20"/>
                <w:szCs w:val="20"/>
                <w:color w:val="auto"/>
              </w:rPr>
            </w:pPr>
            <w:r>
              <w:rPr>
                <w:rFonts w:ascii="Arial" w:cs="Arial" w:eastAsia="Arial" w:hAnsi="Arial"/>
                <w:sz w:val="13"/>
                <w:szCs w:val="13"/>
                <w:b w:val="1"/>
                <w:bCs w:val="1"/>
                <w:color w:val="479EFF"/>
              </w:rPr>
              <w:t>Committee</w:t>
            </w:r>
          </w:p>
        </w:tc>
      </w:tr>
      <w:tr>
        <w:trPr>
          <w:trHeight w:val="169"/>
        </w:trPr>
        <w:tc>
          <w:tcPr>
            <w:tcW w:w="20" w:type="dxa"/>
            <w:vAlign w:val="bottom"/>
          </w:tcPr>
          <w:p>
            <w:pPr>
              <w:spacing w:after="0"/>
              <w:rPr>
                <w:sz w:val="14"/>
                <w:szCs w:val="14"/>
                <w:color w:val="auto"/>
              </w:rPr>
            </w:pPr>
          </w:p>
        </w:tc>
        <w:tc>
          <w:tcPr>
            <w:tcW w:w="2100" w:type="dxa"/>
            <w:vAlign w:val="bottom"/>
            <w:tcBorders>
              <w:bottom w:val="single" w:sz="8" w:color="479EFF"/>
            </w:tcBorders>
          </w:tcPr>
          <w:p>
            <w:pPr>
              <w:ind w:left="740"/>
              <w:spacing w:after="0"/>
              <w:rPr>
                <w:sz w:val="20"/>
                <w:szCs w:val="20"/>
                <w:color w:val="auto"/>
              </w:rPr>
            </w:pPr>
            <w:r>
              <w:rPr>
                <w:rFonts w:ascii="Arial" w:cs="Arial" w:eastAsia="Arial" w:hAnsi="Arial"/>
                <w:sz w:val="13"/>
                <w:szCs w:val="13"/>
                <w:b w:val="1"/>
                <w:bCs w:val="1"/>
                <w:color w:val="479EFF"/>
              </w:rPr>
              <w:t>Name</w:t>
            </w:r>
          </w:p>
        </w:tc>
        <w:tc>
          <w:tcPr>
            <w:tcW w:w="1160" w:type="dxa"/>
            <w:vAlign w:val="bottom"/>
            <w:tcBorders>
              <w:bottom w:val="single" w:sz="8" w:color="479EFF"/>
            </w:tcBorders>
          </w:tcPr>
          <w:p>
            <w:pPr>
              <w:jc w:val="center"/>
              <w:ind w:right="77"/>
              <w:spacing w:after="0"/>
              <w:rPr>
                <w:sz w:val="20"/>
                <w:szCs w:val="20"/>
                <w:color w:val="auto"/>
              </w:rPr>
            </w:pPr>
            <w:r>
              <w:rPr>
                <w:rFonts w:ascii="Arial" w:cs="Arial" w:eastAsia="Arial" w:hAnsi="Arial"/>
                <w:sz w:val="13"/>
                <w:szCs w:val="13"/>
                <w:b w:val="1"/>
                <w:bCs w:val="1"/>
                <w:color w:val="479EFF"/>
                <w:w w:val="97"/>
              </w:rPr>
              <w:t>Since</w:t>
            </w:r>
          </w:p>
        </w:tc>
        <w:tc>
          <w:tcPr>
            <w:tcW w:w="5420" w:type="dxa"/>
            <w:vAlign w:val="bottom"/>
            <w:tcBorders>
              <w:bottom w:val="single" w:sz="8" w:color="479EFF"/>
            </w:tcBorders>
          </w:tcPr>
          <w:p>
            <w:pPr>
              <w:ind w:left="2280"/>
              <w:spacing w:after="0"/>
              <w:rPr>
                <w:sz w:val="20"/>
                <w:szCs w:val="20"/>
                <w:color w:val="auto"/>
              </w:rPr>
            </w:pPr>
            <w:r>
              <w:rPr>
                <w:rFonts w:ascii="Arial" w:cs="Arial" w:eastAsia="Arial" w:hAnsi="Arial"/>
                <w:sz w:val="13"/>
                <w:szCs w:val="13"/>
                <w:b w:val="1"/>
                <w:bCs w:val="1"/>
                <w:color w:val="479EFF"/>
              </w:rPr>
              <w:t>Experience*</w:t>
            </w:r>
          </w:p>
        </w:tc>
        <w:tc>
          <w:tcPr>
            <w:tcW w:w="2600" w:type="dxa"/>
            <w:vAlign w:val="bottom"/>
            <w:tcBorders>
              <w:bottom w:val="single" w:sz="8" w:color="479EFF"/>
            </w:tcBorders>
          </w:tcPr>
          <w:p>
            <w:pPr>
              <w:ind w:left="980"/>
              <w:spacing w:after="0"/>
              <w:rPr>
                <w:sz w:val="20"/>
                <w:szCs w:val="20"/>
                <w:color w:val="auto"/>
              </w:rPr>
            </w:pPr>
            <w:r>
              <w:rPr>
                <w:rFonts w:ascii="Arial" w:cs="Arial" w:eastAsia="Arial" w:hAnsi="Arial"/>
                <w:sz w:val="13"/>
                <w:szCs w:val="13"/>
                <w:b w:val="1"/>
                <w:bCs w:val="1"/>
                <w:color w:val="479EFF"/>
              </w:rPr>
              <w:t>Membership</w:t>
            </w:r>
          </w:p>
        </w:tc>
      </w:tr>
      <w:tr>
        <w:trPr>
          <w:trHeight w:val="134"/>
        </w:trPr>
        <w:tc>
          <w:tcPr>
            <w:tcW w:w="20" w:type="dxa"/>
            <w:vAlign w:val="bottom"/>
          </w:tcPr>
          <w:p>
            <w:pPr>
              <w:spacing w:after="0"/>
              <w:rPr>
                <w:sz w:val="11"/>
                <w:szCs w:val="11"/>
                <w:color w:val="auto"/>
              </w:rPr>
            </w:pPr>
          </w:p>
        </w:tc>
        <w:tc>
          <w:tcPr>
            <w:tcW w:w="210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b w:val="1"/>
                <w:bCs w:val="1"/>
                <w:color w:val="auto"/>
              </w:rPr>
              <w:t>Garen Staglin</w:t>
            </w:r>
          </w:p>
        </w:tc>
        <w:tc>
          <w:tcPr>
            <w:tcW w:w="1160" w:type="dxa"/>
            <w:vAlign w:val="bottom"/>
            <w:tcBorders>
              <w:right w:val="single" w:sz="8" w:color="auto"/>
            </w:tcBorders>
          </w:tcPr>
          <w:p>
            <w:pPr>
              <w:jc w:val="center"/>
              <w:ind w:right="57"/>
              <w:spacing w:after="0" w:line="134" w:lineRule="exact"/>
              <w:rPr>
                <w:sz w:val="20"/>
                <w:szCs w:val="20"/>
                <w:color w:val="auto"/>
              </w:rPr>
            </w:pPr>
            <w:r>
              <w:rPr>
                <w:rFonts w:ascii="Arial" w:cs="Arial" w:eastAsia="Arial" w:hAnsi="Arial"/>
                <w:sz w:val="13"/>
                <w:szCs w:val="13"/>
                <w:color w:val="auto"/>
                <w:w w:val="99"/>
              </w:rPr>
              <w:t>June</w:t>
            </w:r>
          </w:p>
        </w:tc>
        <w:tc>
          <w:tcPr>
            <w:tcW w:w="542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3"/>
                <w:szCs w:val="13"/>
                <w:color w:val="auto"/>
              </w:rPr>
              <w:t>Former Chief Executive Officer of eONE Global LP and Safelite Auto Glass; Chairman of</w:t>
            </w:r>
          </w:p>
        </w:tc>
        <w:tc>
          <w:tcPr>
            <w:tcW w:w="2600" w:type="dxa"/>
            <w:vAlign w:val="bottom"/>
          </w:tcPr>
          <w:p>
            <w:pPr>
              <w:ind w:left="120"/>
              <w:spacing w:after="0" w:line="134" w:lineRule="exact"/>
              <w:rPr>
                <w:sz w:val="20"/>
                <w:szCs w:val="20"/>
                <w:color w:val="auto"/>
              </w:rPr>
            </w:pPr>
            <w:r>
              <w:rPr>
                <w:rFonts w:ascii="Arial" w:cs="Arial" w:eastAsia="Arial" w:hAnsi="Arial"/>
                <w:sz w:val="13"/>
                <w:szCs w:val="13"/>
                <w:color w:val="auto"/>
                <w:w w:val="98"/>
              </w:rPr>
              <w:t>Compensation Committee; Nominating and</w:t>
            </w:r>
          </w:p>
        </w:tc>
      </w:tr>
      <w:tr>
        <w:trPr>
          <w:trHeight w:val="158"/>
        </w:trPr>
        <w:tc>
          <w:tcPr>
            <w:tcW w:w="21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i w:val="1"/>
                <w:iCs w:val="1"/>
                <w:color w:val="auto"/>
              </w:rPr>
              <w:t>Chairman</w:t>
            </w:r>
          </w:p>
        </w:tc>
        <w:tc>
          <w:tcPr>
            <w:tcW w:w="1160" w:type="dxa"/>
            <w:vAlign w:val="bottom"/>
            <w:tcBorders>
              <w:bottom w:val="single" w:sz="8" w:color="auto"/>
              <w:right w:val="single" w:sz="8" w:color="auto"/>
            </w:tcBorders>
          </w:tcPr>
          <w:p>
            <w:pPr>
              <w:jc w:val="center"/>
              <w:ind w:right="57"/>
              <w:spacing w:after="0"/>
              <w:rPr>
                <w:sz w:val="20"/>
                <w:szCs w:val="20"/>
                <w:color w:val="auto"/>
              </w:rPr>
            </w:pPr>
            <w:r>
              <w:rPr>
                <w:rFonts w:ascii="Arial" w:cs="Arial" w:eastAsia="Arial" w:hAnsi="Arial"/>
                <w:sz w:val="13"/>
                <w:szCs w:val="13"/>
                <w:color w:val="auto"/>
                <w:w w:val="96"/>
              </w:rPr>
              <w:t>2005</w:t>
            </w:r>
          </w:p>
        </w:tc>
        <w:tc>
          <w:tcPr>
            <w:tcW w:w="5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the Company since 2014</w:t>
            </w:r>
          </w:p>
        </w:tc>
        <w:tc>
          <w:tcPr>
            <w:tcW w:w="260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Governance Committee</w:t>
            </w:r>
          </w:p>
        </w:tc>
      </w:tr>
      <w:tr>
        <w:trPr>
          <w:trHeight w:val="124"/>
        </w:trPr>
        <w:tc>
          <w:tcPr>
            <w:tcW w:w="2120" w:type="dxa"/>
            <w:vAlign w:val="bottom"/>
            <w:tcBorders>
              <w:right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rPr>
              <w:t>Rohit Kapoor</w:t>
            </w:r>
          </w:p>
        </w:tc>
        <w:tc>
          <w:tcPr>
            <w:tcW w:w="1160" w:type="dxa"/>
            <w:vAlign w:val="bottom"/>
            <w:tcBorders>
              <w:right w:val="single" w:sz="8" w:color="auto"/>
            </w:tcBorders>
          </w:tcPr>
          <w:p>
            <w:pPr>
              <w:jc w:val="center"/>
              <w:ind w:right="77"/>
              <w:spacing w:after="0" w:line="124" w:lineRule="exact"/>
              <w:rPr>
                <w:sz w:val="20"/>
                <w:szCs w:val="20"/>
                <w:color w:val="auto"/>
              </w:rPr>
            </w:pPr>
            <w:r>
              <w:rPr>
                <w:rFonts w:ascii="Arial" w:cs="Arial" w:eastAsia="Arial" w:hAnsi="Arial"/>
                <w:sz w:val="13"/>
                <w:szCs w:val="13"/>
                <w:color w:val="auto"/>
                <w:w w:val="96"/>
              </w:rPr>
              <w:t>November</w:t>
            </w:r>
          </w:p>
        </w:tc>
        <w:tc>
          <w:tcPr>
            <w:tcW w:w="542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3"/>
                <w:szCs w:val="13"/>
                <w:color w:val="auto"/>
              </w:rPr>
              <w:t>Co-founded the Company in 1999; Vice Chairman and CEO of the Company since 2012</w:t>
            </w:r>
          </w:p>
        </w:tc>
        <w:tc>
          <w:tcPr>
            <w:tcW w:w="2600" w:type="dxa"/>
            <w:vAlign w:val="bottom"/>
          </w:tcPr>
          <w:p>
            <w:pPr>
              <w:ind w:left="120"/>
              <w:spacing w:after="0" w:line="124" w:lineRule="exact"/>
              <w:rPr>
                <w:sz w:val="20"/>
                <w:szCs w:val="20"/>
                <w:color w:val="auto"/>
              </w:rPr>
            </w:pPr>
            <w:r>
              <w:rPr>
                <w:rFonts w:ascii="Arial" w:cs="Arial" w:eastAsia="Arial" w:hAnsi="Arial"/>
                <w:sz w:val="13"/>
                <w:szCs w:val="13"/>
                <w:color w:val="auto"/>
              </w:rPr>
              <w:t>None</w:t>
            </w:r>
          </w:p>
        </w:tc>
      </w:tr>
      <w:tr>
        <w:trPr>
          <w:trHeight w:val="158"/>
        </w:trPr>
        <w:tc>
          <w:tcPr>
            <w:tcW w:w="21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i w:val="1"/>
                <w:iCs w:val="1"/>
                <w:color w:val="auto"/>
              </w:rPr>
              <w:t>Vice Chairman</w:t>
            </w:r>
          </w:p>
        </w:tc>
        <w:tc>
          <w:tcPr>
            <w:tcW w:w="1160" w:type="dxa"/>
            <w:vAlign w:val="bottom"/>
            <w:tcBorders>
              <w:bottom w:val="single" w:sz="8" w:color="auto"/>
              <w:right w:val="single" w:sz="8" w:color="auto"/>
            </w:tcBorders>
          </w:tcPr>
          <w:p>
            <w:pPr>
              <w:jc w:val="center"/>
              <w:ind w:right="57"/>
              <w:spacing w:after="0"/>
              <w:rPr>
                <w:sz w:val="20"/>
                <w:szCs w:val="20"/>
                <w:color w:val="auto"/>
              </w:rPr>
            </w:pPr>
            <w:r>
              <w:rPr>
                <w:rFonts w:ascii="Arial" w:cs="Arial" w:eastAsia="Arial" w:hAnsi="Arial"/>
                <w:sz w:val="13"/>
                <w:szCs w:val="13"/>
                <w:color w:val="auto"/>
                <w:w w:val="96"/>
              </w:rPr>
              <w:t>2002</w:t>
            </w:r>
          </w:p>
        </w:tc>
        <w:tc>
          <w:tcPr>
            <w:tcW w:w="5420" w:type="dxa"/>
            <w:vAlign w:val="bottom"/>
            <w:tcBorders>
              <w:bottom w:val="single" w:sz="8" w:color="auto"/>
              <w:right w:val="single" w:sz="8" w:color="auto"/>
            </w:tcBorders>
          </w:tcPr>
          <w:p>
            <w:pPr>
              <w:spacing w:after="0"/>
              <w:rPr>
                <w:sz w:val="13"/>
                <w:szCs w:val="13"/>
                <w:color w:val="auto"/>
              </w:rPr>
            </w:pPr>
          </w:p>
        </w:tc>
        <w:tc>
          <w:tcPr>
            <w:tcW w:w="2600" w:type="dxa"/>
            <w:vAlign w:val="bottom"/>
            <w:tcBorders>
              <w:bottom w:val="single" w:sz="8" w:color="auto"/>
            </w:tcBorders>
          </w:tcPr>
          <w:p>
            <w:pPr>
              <w:spacing w:after="0"/>
              <w:rPr>
                <w:sz w:val="13"/>
                <w:szCs w:val="13"/>
                <w:color w:val="auto"/>
              </w:rPr>
            </w:pPr>
          </w:p>
        </w:tc>
      </w:tr>
      <w:tr>
        <w:trPr>
          <w:trHeight w:val="138"/>
        </w:trPr>
        <w:tc>
          <w:tcPr>
            <w:tcW w:w="2120" w:type="dxa"/>
            <w:vAlign w:val="bottom"/>
            <w:tcBorders>
              <w:right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Anne Minto</w:t>
            </w:r>
          </w:p>
        </w:tc>
        <w:tc>
          <w:tcPr>
            <w:tcW w:w="1160" w:type="dxa"/>
            <w:vAlign w:val="bottom"/>
            <w:tcBorders>
              <w:right w:val="single" w:sz="8" w:color="auto"/>
            </w:tcBorders>
          </w:tcPr>
          <w:p>
            <w:pPr>
              <w:jc w:val="center"/>
              <w:ind w:right="77"/>
              <w:spacing w:after="0" w:line="138" w:lineRule="exact"/>
              <w:rPr>
                <w:sz w:val="20"/>
                <w:szCs w:val="20"/>
                <w:color w:val="auto"/>
              </w:rPr>
            </w:pPr>
            <w:r>
              <w:rPr>
                <w:rFonts w:ascii="Arial" w:cs="Arial" w:eastAsia="Arial" w:hAnsi="Arial"/>
                <w:sz w:val="13"/>
                <w:szCs w:val="13"/>
                <w:color w:val="auto"/>
                <w:w w:val="94"/>
              </w:rPr>
              <w:t>March</w:t>
            </w:r>
          </w:p>
        </w:tc>
        <w:tc>
          <w:tcPr>
            <w:tcW w:w="542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Former Global Human Reources Durector for Centrica plc, former CHRO for Smiths</w:t>
            </w:r>
          </w:p>
        </w:tc>
        <w:tc>
          <w:tcPr>
            <w:tcW w:w="2600" w:type="dxa"/>
            <w:vAlign w:val="bottom"/>
          </w:tcPr>
          <w:p>
            <w:pPr>
              <w:ind w:left="120"/>
              <w:spacing w:after="0" w:line="138" w:lineRule="exact"/>
              <w:rPr>
                <w:sz w:val="20"/>
                <w:szCs w:val="20"/>
                <w:color w:val="auto"/>
              </w:rPr>
            </w:pPr>
            <w:r>
              <w:rPr>
                <w:rFonts w:ascii="Arial" w:cs="Arial" w:eastAsia="Arial" w:hAnsi="Arial"/>
                <w:sz w:val="13"/>
                <w:szCs w:val="13"/>
                <w:color w:val="auto"/>
              </w:rPr>
              <w:t>Compensation Committee (former Chair</w:t>
            </w:r>
          </w:p>
        </w:tc>
      </w:tr>
      <w:tr>
        <w:trPr>
          <w:trHeight w:val="146"/>
        </w:trPr>
        <w:tc>
          <w:tcPr>
            <w:tcW w:w="20" w:type="dxa"/>
            <w:vAlign w:val="bottom"/>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right="57"/>
              <w:spacing w:after="0" w:line="146" w:lineRule="exact"/>
              <w:rPr>
                <w:sz w:val="20"/>
                <w:szCs w:val="20"/>
                <w:color w:val="auto"/>
              </w:rPr>
            </w:pPr>
            <w:r>
              <w:rPr>
                <w:rFonts w:ascii="Arial" w:cs="Arial" w:eastAsia="Arial" w:hAnsi="Arial"/>
                <w:sz w:val="13"/>
                <w:szCs w:val="13"/>
                <w:color w:val="auto"/>
                <w:w w:val="96"/>
              </w:rPr>
              <w:t>2013</w:t>
            </w:r>
          </w:p>
        </w:tc>
        <w:tc>
          <w:tcPr>
            <w:tcW w:w="542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Group plc</w:t>
            </w:r>
          </w:p>
        </w:tc>
        <w:tc>
          <w:tcPr>
            <w:tcW w:w="2600" w:type="dxa"/>
            <w:vAlign w:val="bottom"/>
          </w:tcPr>
          <w:p>
            <w:pPr>
              <w:ind w:left="120"/>
              <w:spacing w:after="0" w:line="146" w:lineRule="exact"/>
              <w:rPr>
                <w:sz w:val="20"/>
                <w:szCs w:val="20"/>
                <w:color w:val="auto"/>
              </w:rPr>
            </w:pPr>
            <w:r>
              <w:rPr>
                <w:rFonts w:ascii="Arial" w:cs="Arial" w:eastAsia="Arial" w:hAnsi="Arial"/>
                <w:sz w:val="13"/>
                <w:szCs w:val="13"/>
                <w:color w:val="auto"/>
              </w:rPr>
              <w:t>through December 2020); Nominating and</w:t>
            </w:r>
          </w:p>
        </w:tc>
      </w:tr>
      <w:tr>
        <w:trPr>
          <w:trHeight w:val="144"/>
        </w:trPr>
        <w:tc>
          <w:tcPr>
            <w:tcW w:w="20" w:type="dxa"/>
            <w:vAlign w:val="bottom"/>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542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color w:val="auto"/>
              </w:rPr>
              <w:t>Governance Committee</w:t>
            </w:r>
          </w:p>
        </w:tc>
      </w:tr>
      <w:tr>
        <w:trPr>
          <w:trHeight w:val="138"/>
        </w:trPr>
        <w:tc>
          <w:tcPr>
            <w:tcW w:w="20" w:type="dxa"/>
            <w:vAlign w:val="bottom"/>
          </w:tcPr>
          <w:p>
            <w:pPr>
              <w:spacing w:after="0"/>
              <w:rPr>
                <w:sz w:val="11"/>
                <w:szCs w:val="11"/>
                <w:color w:val="auto"/>
              </w:rPr>
            </w:pPr>
          </w:p>
        </w:tc>
        <w:tc>
          <w:tcPr>
            <w:tcW w:w="210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Som Mittal</w:t>
            </w:r>
          </w:p>
        </w:tc>
        <w:tc>
          <w:tcPr>
            <w:tcW w:w="1160" w:type="dxa"/>
            <w:vAlign w:val="bottom"/>
            <w:tcBorders>
              <w:right w:val="single" w:sz="8" w:color="auto"/>
            </w:tcBorders>
          </w:tcPr>
          <w:p>
            <w:pPr>
              <w:jc w:val="center"/>
              <w:ind w:right="77"/>
              <w:spacing w:after="0" w:line="138" w:lineRule="exact"/>
              <w:rPr>
                <w:sz w:val="20"/>
                <w:szCs w:val="20"/>
                <w:color w:val="auto"/>
              </w:rPr>
            </w:pPr>
            <w:r>
              <w:rPr>
                <w:rFonts w:ascii="Arial" w:cs="Arial" w:eastAsia="Arial" w:hAnsi="Arial"/>
                <w:sz w:val="13"/>
                <w:szCs w:val="13"/>
                <w:color w:val="auto"/>
                <w:w w:val="96"/>
              </w:rPr>
              <w:t>December</w:t>
            </w:r>
          </w:p>
        </w:tc>
        <w:tc>
          <w:tcPr>
            <w:tcW w:w="542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Former Chairman and President of NASSCOM</w:t>
            </w:r>
          </w:p>
        </w:tc>
        <w:tc>
          <w:tcPr>
            <w:tcW w:w="2600" w:type="dxa"/>
            <w:vAlign w:val="bottom"/>
          </w:tcPr>
          <w:p>
            <w:pPr>
              <w:ind w:left="120"/>
              <w:spacing w:after="0" w:line="138" w:lineRule="exact"/>
              <w:rPr>
                <w:sz w:val="20"/>
                <w:szCs w:val="20"/>
                <w:color w:val="auto"/>
              </w:rPr>
            </w:pPr>
            <w:r>
              <w:rPr>
                <w:rFonts w:ascii="Arial" w:cs="Arial" w:eastAsia="Arial" w:hAnsi="Arial"/>
                <w:sz w:val="13"/>
                <w:szCs w:val="13"/>
                <w:color w:val="auto"/>
                <w:w w:val="98"/>
              </w:rPr>
              <w:t>Compensation Committee; Nominating and</w:t>
            </w:r>
          </w:p>
        </w:tc>
      </w:tr>
      <w:tr>
        <w:trPr>
          <w:trHeight w:val="144"/>
        </w:trPr>
        <w:tc>
          <w:tcPr>
            <w:tcW w:w="20" w:type="dxa"/>
            <w:vAlign w:val="bottom"/>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57"/>
              <w:spacing w:after="0" w:line="144" w:lineRule="exact"/>
              <w:rPr>
                <w:sz w:val="20"/>
                <w:szCs w:val="20"/>
                <w:color w:val="auto"/>
              </w:rPr>
            </w:pPr>
            <w:r>
              <w:rPr>
                <w:rFonts w:ascii="Arial" w:cs="Arial" w:eastAsia="Arial" w:hAnsi="Arial"/>
                <w:sz w:val="13"/>
                <w:szCs w:val="13"/>
                <w:color w:val="auto"/>
                <w:w w:val="96"/>
              </w:rPr>
              <w:t>2013</w:t>
            </w:r>
          </w:p>
        </w:tc>
        <w:tc>
          <w:tcPr>
            <w:tcW w:w="542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color w:val="auto"/>
              </w:rPr>
              <w:t>Governance Committee</w:t>
            </w:r>
          </w:p>
        </w:tc>
      </w:tr>
      <w:tr>
        <w:trPr>
          <w:trHeight w:val="138"/>
        </w:trPr>
        <w:tc>
          <w:tcPr>
            <w:tcW w:w="20" w:type="dxa"/>
            <w:vAlign w:val="bottom"/>
          </w:tcPr>
          <w:p>
            <w:pPr>
              <w:spacing w:after="0"/>
              <w:rPr>
                <w:sz w:val="11"/>
                <w:szCs w:val="11"/>
                <w:color w:val="auto"/>
              </w:rPr>
            </w:pPr>
          </w:p>
        </w:tc>
        <w:tc>
          <w:tcPr>
            <w:tcW w:w="210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Clyde Ostler</w:t>
            </w:r>
          </w:p>
        </w:tc>
        <w:tc>
          <w:tcPr>
            <w:tcW w:w="1160" w:type="dxa"/>
            <w:vAlign w:val="bottom"/>
            <w:tcBorders>
              <w:right w:val="single" w:sz="8" w:color="auto"/>
            </w:tcBorders>
          </w:tcPr>
          <w:p>
            <w:pPr>
              <w:jc w:val="center"/>
              <w:ind w:right="77"/>
              <w:spacing w:after="0" w:line="138" w:lineRule="exact"/>
              <w:rPr>
                <w:sz w:val="20"/>
                <w:szCs w:val="20"/>
                <w:color w:val="auto"/>
              </w:rPr>
            </w:pPr>
            <w:r>
              <w:rPr>
                <w:rFonts w:ascii="Arial" w:cs="Arial" w:eastAsia="Arial" w:hAnsi="Arial"/>
                <w:sz w:val="13"/>
                <w:szCs w:val="13"/>
                <w:color w:val="auto"/>
                <w:w w:val="96"/>
              </w:rPr>
              <w:t>December</w:t>
            </w:r>
          </w:p>
        </w:tc>
        <w:tc>
          <w:tcPr>
            <w:tcW w:w="542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Former executive for Wells Fargo, whose roles included Group Executive Vice President,</w:t>
            </w:r>
          </w:p>
        </w:tc>
        <w:tc>
          <w:tcPr>
            <w:tcW w:w="2600" w:type="dxa"/>
            <w:vAlign w:val="bottom"/>
          </w:tcPr>
          <w:p>
            <w:pPr>
              <w:ind w:left="120"/>
              <w:spacing w:after="0" w:line="138" w:lineRule="exact"/>
              <w:rPr>
                <w:sz w:val="20"/>
                <w:szCs w:val="20"/>
                <w:color w:val="auto"/>
              </w:rPr>
            </w:pPr>
            <w:r>
              <w:rPr>
                <w:rFonts w:ascii="Arial" w:cs="Arial" w:eastAsia="Arial" w:hAnsi="Arial"/>
                <w:sz w:val="13"/>
                <w:szCs w:val="13"/>
                <w:color w:val="auto"/>
              </w:rPr>
              <w:t>Audit Committee (Chair); Compensation</w:t>
            </w:r>
          </w:p>
        </w:tc>
      </w:tr>
      <w:tr>
        <w:trPr>
          <w:trHeight w:val="144"/>
        </w:trPr>
        <w:tc>
          <w:tcPr>
            <w:tcW w:w="20" w:type="dxa"/>
            <w:vAlign w:val="bottom"/>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57"/>
              <w:spacing w:after="0" w:line="144" w:lineRule="exact"/>
              <w:rPr>
                <w:sz w:val="20"/>
                <w:szCs w:val="20"/>
                <w:color w:val="auto"/>
              </w:rPr>
            </w:pPr>
            <w:r>
              <w:rPr>
                <w:rFonts w:ascii="Arial" w:cs="Arial" w:eastAsia="Arial" w:hAnsi="Arial"/>
                <w:sz w:val="13"/>
                <w:szCs w:val="13"/>
                <w:color w:val="auto"/>
                <w:w w:val="96"/>
              </w:rPr>
              <w:t>2007</w:t>
            </w:r>
          </w:p>
        </w:tc>
        <w:tc>
          <w:tcPr>
            <w:tcW w:w="542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Chief Financial Officer and Chief Auditor</w:t>
            </w:r>
          </w:p>
        </w:tc>
        <w:tc>
          <w:tcPr>
            <w:tcW w:w="260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color w:val="auto"/>
              </w:rPr>
              <w:t>Committee</w:t>
            </w:r>
          </w:p>
        </w:tc>
      </w:tr>
      <w:tr>
        <w:trPr>
          <w:trHeight w:val="138"/>
        </w:trPr>
        <w:tc>
          <w:tcPr>
            <w:tcW w:w="20" w:type="dxa"/>
            <w:vAlign w:val="bottom"/>
          </w:tcPr>
          <w:p>
            <w:pPr>
              <w:spacing w:after="0"/>
              <w:rPr>
                <w:sz w:val="11"/>
                <w:szCs w:val="11"/>
                <w:color w:val="auto"/>
              </w:rPr>
            </w:pPr>
          </w:p>
        </w:tc>
        <w:tc>
          <w:tcPr>
            <w:tcW w:w="210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Vikram Pandit</w:t>
            </w:r>
          </w:p>
        </w:tc>
        <w:tc>
          <w:tcPr>
            <w:tcW w:w="1160" w:type="dxa"/>
            <w:vAlign w:val="bottom"/>
            <w:tcBorders>
              <w:right w:val="single" w:sz="8" w:color="auto"/>
            </w:tcBorders>
          </w:tcPr>
          <w:p>
            <w:pPr>
              <w:jc w:val="center"/>
              <w:ind w:right="77"/>
              <w:spacing w:after="0" w:line="138" w:lineRule="exact"/>
              <w:rPr>
                <w:sz w:val="20"/>
                <w:szCs w:val="20"/>
                <w:color w:val="auto"/>
              </w:rPr>
            </w:pPr>
            <w:r>
              <w:rPr>
                <w:rFonts w:ascii="Arial" w:cs="Arial" w:eastAsia="Arial" w:hAnsi="Arial"/>
                <w:sz w:val="13"/>
                <w:szCs w:val="13"/>
                <w:color w:val="auto"/>
                <w:w w:val="99"/>
              </w:rPr>
              <w:t>October</w:t>
            </w:r>
          </w:p>
        </w:tc>
        <w:tc>
          <w:tcPr>
            <w:tcW w:w="542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Chairman and Chief Executive Officer of Orogen Group; former Chairman of TGG Group</w:t>
            </w:r>
          </w:p>
        </w:tc>
        <w:tc>
          <w:tcPr>
            <w:tcW w:w="2600" w:type="dxa"/>
            <w:vAlign w:val="bottom"/>
          </w:tcPr>
          <w:p>
            <w:pPr>
              <w:ind w:left="120"/>
              <w:spacing w:after="0" w:line="138" w:lineRule="exact"/>
              <w:rPr>
                <w:sz w:val="20"/>
                <w:szCs w:val="20"/>
                <w:color w:val="auto"/>
              </w:rPr>
            </w:pPr>
            <w:r>
              <w:rPr>
                <w:rFonts w:ascii="Arial" w:cs="Arial" w:eastAsia="Arial" w:hAnsi="Arial"/>
                <w:sz w:val="13"/>
                <w:szCs w:val="13"/>
                <w:color w:val="auto"/>
              </w:rPr>
              <w:t>Audit Committee; Nominating and</w:t>
            </w:r>
          </w:p>
        </w:tc>
      </w:tr>
      <w:tr>
        <w:trPr>
          <w:trHeight w:val="144"/>
        </w:trPr>
        <w:tc>
          <w:tcPr>
            <w:tcW w:w="20" w:type="dxa"/>
            <w:vAlign w:val="bottom"/>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57"/>
              <w:spacing w:after="0" w:line="144" w:lineRule="exact"/>
              <w:rPr>
                <w:sz w:val="20"/>
                <w:szCs w:val="20"/>
                <w:color w:val="auto"/>
              </w:rPr>
            </w:pPr>
            <w:r>
              <w:rPr>
                <w:rFonts w:ascii="Arial" w:cs="Arial" w:eastAsia="Arial" w:hAnsi="Arial"/>
                <w:sz w:val="13"/>
                <w:szCs w:val="13"/>
                <w:color w:val="auto"/>
                <w:w w:val="96"/>
              </w:rPr>
              <w:t>2018</w:t>
            </w:r>
          </w:p>
        </w:tc>
        <w:tc>
          <w:tcPr>
            <w:tcW w:w="542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and former Chief Executive Officer of Citigroup Inc.</w:t>
            </w:r>
          </w:p>
        </w:tc>
        <w:tc>
          <w:tcPr>
            <w:tcW w:w="260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color w:val="auto"/>
              </w:rPr>
              <w:t>Governance Committee</w:t>
            </w:r>
          </w:p>
        </w:tc>
      </w:tr>
      <w:tr>
        <w:trPr>
          <w:trHeight w:val="138"/>
        </w:trPr>
        <w:tc>
          <w:tcPr>
            <w:tcW w:w="20" w:type="dxa"/>
            <w:vAlign w:val="bottom"/>
          </w:tcPr>
          <w:p>
            <w:pPr>
              <w:spacing w:after="0"/>
              <w:rPr>
                <w:sz w:val="11"/>
                <w:szCs w:val="11"/>
                <w:color w:val="auto"/>
              </w:rPr>
            </w:pPr>
          </w:p>
        </w:tc>
        <w:tc>
          <w:tcPr>
            <w:tcW w:w="210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Kristy Pipes</w:t>
            </w:r>
          </w:p>
        </w:tc>
        <w:tc>
          <w:tcPr>
            <w:tcW w:w="1160" w:type="dxa"/>
            <w:vAlign w:val="bottom"/>
            <w:tcBorders>
              <w:right w:val="single" w:sz="8" w:color="auto"/>
            </w:tcBorders>
          </w:tcPr>
          <w:p>
            <w:pPr>
              <w:jc w:val="center"/>
              <w:ind w:right="77"/>
              <w:spacing w:after="0" w:line="138" w:lineRule="exact"/>
              <w:rPr>
                <w:sz w:val="20"/>
                <w:szCs w:val="20"/>
                <w:color w:val="auto"/>
              </w:rPr>
            </w:pPr>
            <w:r>
              <w:rPr>
                <w:rFonts w:ascii="Arial" w:cs="Arial" w:eastAsia="Arial" w:hAnsi="Arial"/>
                <w:sz w:val="13"/>
                <w:szCs w:val="13"/>
                <w:color w:val="auto"/>
                <w:w w:val="99"/>
              </w:rPr>
              <w:t>January</w:t>
            </w:r>
          </w:p>
        </w:tc>
        <w:tc>
          <w:tcPr>
            <w:tcW w:w="542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Former Chief Financial Officer of Deloitte Consulting</w:t>
            </w:r>
          </w:p>
        </w:tc>
        <w:tc>
          <w:tcPr>
            <w:tcW w:w="2600" w:type="dxa"/>
            <w:vAlign w:val="bottom"/>
          </w:tcPr>
          <w:p>
            <w:pPr>
              <w:ind w:left="120"/>
              <w:spacing w:after="0" w:line="138" w:lineRule="exact"/>
              <w:rPr>
                <w:sz w:val="20"/>
                <w:szCs w:val="20"/>
                <w:color w:val="auto"/>
              </w:rPr>
            </w:pPr>
            <w:r>
              <w:rPr>
                <w:rFonts w:ascii="Arial" w:cs="Arial" w:eastAsia="Arial" w:hAnsi="Arial"/>
                <w:sz w:val="13"/>
                <w:szCs w:val="13"/>
                <w:color w:val="auto"/>
                <w:w w:val="96"/>
              </w:rPr>
              <w:t>Audit Committee; Compensation Committee</w:t>
            </w:r>
          </w:p>
        </w:tc>
      </w:tr>
      <w:tr>
        <w:trPr>
          <w:trHeight w:val="144"/>
        </w:trPr>
        <w:tc>
          <w:tcPr>
            <w:tcW w:w="20" w:type="dxa"/>
            <w:vAlign w:val="bottom"/>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57"/>
              <w:spacing w:after="0" w:line="144" w:lineRule="exact"/>
              <w:rPr>
                <w:sz w:val="20"/>
                <w:szCs w:val="20"/>
                <w:color w:val="auto"/>
              </w:rPr>
            </w:pPr>
            <w:r>
              <w:rPr>
                <w:rFonts w:ascii="Arial" w:cs="Arial" w:eastAsia="Arial" w:hAnsi="Arial"/>
                <w:sz w:val="13"/>
                <w:szCs w:val="13"/>
                <w:color w:val="auto"/>
                <w:w w:val="96"/>
              </w:rPr>
              <w:t>2021</w:t>
            </w:r>
          </w:p>
        </w:tc>
        <w:tc>
          <w:tcPr>
            <w:tcW w:w="5420" w:type="dxa"/>
            <w:vAlign w:val="bottom"/>
            <w:tcBorders>
              <w:bottom w:val="single" w:sz="8" w:color="auto"/>
              <w:right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210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Nitin Sahney</w:t>
            </w:r>
          </w:p>
        </w:tc>
        <w:tc>
          <w:tcPr>
            <w:tcW w:w="1160" w:type="dxa"/>
            <w:vAlign w:val="bottom"/>
            <w:tcBorders>
              <w:right w:val="single" w:sz="8" w:color="auto"/>
            </w:tcBorders>
          </w:tcPr>
          <w:p>
            <w:pPr>
              <w:jc w:val="center"/>
              <w:ind w:right="77"/>
              <w:spacing w:after="0" w:line="138" w:lineRule="exact"/>
              <w:rPr>
                <w:sz w:val="20"/>
                <w:szCs w:val="20"/>
                <w:color w:val="auto"/>
              </w:rPr>
            </w:pPr>
            <w:r>
              <w:rPr>
                <w:rFonts w:ascii="Arial" w:cs="Arial" w:eastAsia="Arial" w:hAnsi="Arial"/>
                <w:sz w:val="13"/>
                <w:szCs w:val="13"/>
                <w:color w:val="auto"/>
                <w:w w:val="99"/>
              </w:rPr>
              <w:t>January</w:t>
            </w:r>
          </w:p>
        </w:tc>
        <w:tc>
          <w:tcPr>
            <w:tcW w:w="542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Founder and Chief Executive Officer of Pharmacord, LLC; former President and CEO of</w:t>
            </w:r>
          </w:p>
        </w:tc>
        <w:tc>
          <w:tcPr>
            <w:tcW w:w="2600" w:type="dxa"/>
            <w:vAlign w:val="bottom"/>
          </w:tcPr>
          <w:p>
            <w:pPr>
              <w:ind w:left="120"/>
              <w:spacing w:after="0" w:line="138" w:lineRule="exact"/>
              <w:rPr>
                <w:sz w:val="20"/>
                <w:szCs w:val="20"/>
                <w:color w:val="auto"/>
              </w:rPr>
            </w:pPr>
            <w:r>
              <w:rPr>
                <w:rFonts w:ascii="Arial" w:cs="Arial" w:eastAsia="Arial" w:hAnsi="Arial"/>
                <w:sz w:val="13"/>
                <w:szCs w:val="13"/>
                <w:color w:val="auto"/>
              </w:rPr>
              <w:t>Nominating and Governance Committee</w:t>
            </w:r>
          </w:p>
        </w:tc>
      </w:tr>
      <w:tr>
        <w:trPr>
          <w:trHeight w:val="144"/>
        </w:trPr>
        <w:tc>
          <w:tcPr>
            <w:tcW w:w="20" w:type="dxa"/>
            <w:vAlign w:val="bottom"/>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ind w:right="57"/>
              <w:spacing w:after="0" w:line="144" w:lineRule="exact"/>
              <w:rPr>
                <w:sz w:val="20"/>
                <w:szCs w:val="20"/>
                <w:color w:val="auto"/>
              </w:rPr>
            </w:pPr>
            <w:r>
              <w:rPr>
                <w:rFonts w:ascii="Arial" w:cs="Arial" w:eastAsia="Arial" w:hAnsi="Arial"/>
                <w:sz w:val="13"/>
                <w:szCs w:val="13"/>
                <w:color w:val="auto"/>
                <w:w w:val="96"/>
              </w:rPr>
              <w:t>2016</w:t>
            </w:r>
          </w:p>
        </w:tc>
        <w:tc>
          <w:tcPr>
            <w:tcW w:w="542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Omnicare Inc.</w:t>
            </w:r>
          </w:p>
        </w:tc>
        <w:tc>
          <w:tcPr>
            <w:tcW w:w="260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color w:val="auto"/>
              </w:rPr>
              <w:t>(Chair); Audit Committee</w:t>
            </w:r>
          </w:p>
        </w:tc>
      </w:tr>
      <w:tr>
        <w:trPr>
          <w:trHeight w:val="138"/>
        </w:trPr>
        <w:tc>
          <w:tcPr>
            <w:tcW w:w="20" w:type="dxa"/>
            <w:vAlign w:val="bottom"/>
          </w:tcPr>
          <w:p>
            <w:pPr>
              <w:spacing w:after="0"/>
              <w:rPr>
                <w:sz w:val="11"/>
                <w:szCs w:val="11"/>
                <w:color w:val="auto"/>
              </w:rPr>
            </w:pPr>
          </w:p>
        </w:tc>
        <w:tc>
          <w:tcPr>
            <w:tcW w:w="210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Jaynie Studenmund</w:t>
            </w:r>
          </w:p>
        </w:tc>
        <w:tc>
          <w:tcPr>
            <w:tcW w:w="1160" w:type="dxa"/>
            <w:vAlign w:val="bottom"/>
            <w:tcBorders>
              <w:right w:val="single" w:sz="8" w:color="auto"/>
            </w:tcBorders>
          </w:tcPr>
          <w:p>
            <w:pPr>
              <w:jc w:val="center"/>
              <w:ind w:right="77"/>
              <w:spacing w:after="0" w:line="138" w:lineRule="exact"/>
              <w:rPr>
                <w:sz w:val="20"/>
                <w:szCs w:val="20"/>
                <w:color w:val="auto"/>
              </w:rPr>
            </w:pPr>
            <w:r>
              <w:rPr>
                <w:rFonts w:ascii="Arial" w:cs="Arial" w:eastAsia="Arial" w:hAnsi="Arial"/>
                <w:sz w:val="13"/>
                <w:szCs w:val="13"/>
                <w:color w:val="auto"/>
                <w:w w:val="97"/>
              </w:rPr>
              <w:t>September</w:t>
            </w:r>
          </w:p>
        </w:tc>
        <w:tc>
          <w:tcPr>
            <w:tcW w:w="542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Former Chief Operating Officer of Overture Services, Inc.; former President &amp; Chief</w:t>
            </w:r>
          </w:p>
        </w:tc>
        <w:tc>
          <w:tcPr>
            <w:tcW w:w="2600" w:type="dxa"/>
            <w:vAlign w:val="bottom"/>
          </w:tcPr>
          <w:p>
            <w:pPr>
              <w:ind w:left="120"/>
              <w:spacing w:after="0" w:line="138" w:lineRule="exact"/>
              <w:rPr>
                <w:sz w:val="20"/>
                <w:szCs w:val="20"/>
                <w:color w:val="auto"/>
              </w:rPr>
            </w:pPr>
            <w:r>
              <w:rPr>
                <w:rFonts w:ascii="Arial" w:cs="Arial" w:eastAsia="Arial" w:hAnsi="Arial"/>
                <w:sz w:val="13"/>
                <w:szCs w:val="13"/>
                <w:color w:val="auto"/>
              </w:rPr>
              <w:t>Compensation Committee (Chair); Audit</w:t>
            </w:r>
          </w:p>
        </w:tc>
      </w:tr>
      <w:tr>
        <w:trPr>
          <w:trHeight w:val="146"/>
        </w:trPr>
        <w:tc>
          <w:tcPr>
            <w:tcW w:w="20" w:type="dxa"/>
            <w:vAlign w:val="bottom"/>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right="57"/>
              <w:spacing w:after="0" w:line="146" w:lineRule="exact"/>
              <w:rPr>
                <w:sz w:val="20"/>
                <w:szCs w:val="20"/>
                <w:color w:val="auto"/>
              </w:rPr>
            </w:pPr>
            <w:r>
              <w:rPr>
                <w:rFonts w:ascii="Arial" w:cs="Arial" w:eastAsia="Arial" w:hAnsi="Arial"/>
                <w:sz w:val="13"/>
                <w:szCs w:val="13"/>
                <w:color w:val="auto"/>
                <w:w w:val="96"/>
              </w:rPr>
              <w:t>2018</w:t>
            </w:r>
          </w:p>
        </w:tc>
        <w:tc>
          <w:tcPr>
            <w:tcW w:w="542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Operating Officer, PayMyBills; former Executive Vice President and Head of Consumer</w:t>
            </w:r>
          </w:p>
        </w:tc>
        <w:tc>
          <w:tcPr>
            <w:tcW w:w="2600" w:type="dxa"/>
            <w:vAlign w:val="bottom"/>
          </w:tcPr>
          <w:p>
            <w:pPr>
              <w:ind w:left="120"/>
              <w:spacing w:after="0" w:line="146" w:lineRule="exact"/>
              <w:rPr>
                <w:sz w:val="20"/>
                <w:szCs w:val="20"/>
                <w:color w:val="auto"/>
              </w:rPr>
            </w:pPr>
            <w:r>
              <w:rPr>
                <w:rFonts w:ascii="Arial" w:cs="Arial" w:eastAsia="Arial" w:hAnsi="Arial"/>
                <w:sz w:val="13"/>
                <w:szCs w:val="13"/>
                <w:color w:val="auto"/>
              </w:rPr>
              <w:t>Committee</w:t>
            </w:r>
          </w:p>
        </w:tc>
      </w:tr>
      <w:tr>
        <w:trPr>
          <w:trHeight w:val="153"/>
        </w:trPr>
        <w:tc>
          <w:tcPr>
            <w:tcW w:w="20" w:type="dxa"/>
            <w:vAlign w:val="bottom"/>
          </w:tcPr>
          <w:p>
            <w:pPr>
              <w:spacing w:after="0"/>
              <w:rPr>
                <w:sz w:val="13"/>
                <w:szCs w:val="13"/>
                <w:color w:val="auto"/>
              </w:rPr>
            </w:pPr>
          </w:p>
        </w:tc>
        <w:tc>
          <w:tcPr>
            <w:tcW w:w="2100" w:type="dxa"/>
            <w:vAlign w:val="bottom"/>
            <w:tcBorders>
              <w:bottom w:val="single" w:sz="8" w:color="479EFF"/>
              <w:right w:val="single" w:sz="8" w:color="auto"/>
            </w:tcBorders>
          </w:tcPr>
          <w:p>
            <w:pPr>
              <w:spacing w:after="0"/>
              <w:rPr>
                <w:sz w:val="13"/>
                <w:szCs w:val="13"/>
                <w:color w:val="auto"/>
              </w:rPr>
            </w:pPr>
          </w:p>
        </w:tc>
        <w:tc>
          <w:tcPr>
            <w:tcW w:w="1160" w:type="dxa"/>
            <w:vAlign w:val="bottom"/>
            <w:tcBorders>
              <w:bottom w:val="single" w:sz="8" w:color="479EFF"/>
              <w:right w:val="single" w:sz="8" w:color="auto"/>
            </w:tcBorders>
          </w:tcPr>
          <w:p>
            <w:pPr>
              <w:spacing w:after="0"/>
              <w:rPr>
                <w:sz w:val="13"/>
                <w:szCs w:val="13"/>
                <w:color w:val="auto"/>
              </w:rPr>
            </w:pPr>
          </w:p>
        </w:tc>
        <w:tc>
          <w:tcPr>
            <w:tcW w:w="5420" w:type="dxa"/>
            <w:vAlign w:val="bottom"/>
            <w:tcBorders>
              <w:bottom w:val="single" w:sz="8" w:color="479EFF"/>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and Business Banking for First Interstate of California</w:t>
            </w:r>
          </w:p>
        </w:tc>
        <w:tc>
          <w:tcPr>
            <w:tcW w:w="2600" w:type="dxa"/>
            <w:vAlign w:val="bottom"/>
            <w:tcBorders>
              <w:bottom w:val="single" w:sz="8" w:color="479EFF"/>
            </w:tcBorders>
          </w:tcPr>
          <w:p>
            <w:pPr>
              <w:spacing w:after="0"/>
              <w:rPr>
                <w:sz w:val="13"/>
                <w:szCs w:val="13"/>
                <w:color w:val="auto"/>
              </w:rPr>
            </w:pPr>
          </w:p>
        </w:tc>
      </w:tr>
      <w:tr>
        <w:trPr>
          <w:trHeight w:val="283"/>
        </w:trPr>
        <w:tc>
          <w:tcPr>
            <w:tcW w:w="8700" w:type="dxa"/>
            <w:vAlign w:val="bottom"/>
            <w:gridSpan w:val="4"/>
          </w:tcPr>
          <w:p>
            <w:pPr>
              <w:spacing w:after="0"/>
              <w:rPr>
                <w:sz w:val="20"/>
                <w:szCs w:val="20"/>
                <w:color w:val="auto"/>
              </w:rPr>
            </w:pPr>
            <w:r>
              <w:rPr>
                <w:rFonts w:ascii="Arial" w:cs="Arial" w:eastAsia="Arial" w:hAnsi="Arial"/>
                <w:sz w:val="10"/>
                <w:szCs w:val="10"/>
                <w:color w:val="auto"/>
              </w:rPr>
              <w:t>*A complete list of each nominee's business experience and directorships is listed below beginning on page 21.</w:t>
            </w:r>
          </w:p>
        </w:tc>
        <w:tc>
          <w:tcPr>
            <w:tcW w:w="2600" w:type="dxa"/>
            <w:vAlign w:val="bottom"/>
          </w:tcPr>
          <w:p>
            <w:pPr>
              <w:spacing w:after="0"/>
              <w:rPr>
                <w:sz w:val="24"/>
                <w:szCs w:val="24"/>
                <w:color w:val="auto"/>
              </w:rPr>
            </w:pPr>
          </w:p>
        </w:tc>
      </w:tr>
      <w:tr>
        <w:trPr>
          <w:trHeight w:val="65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600" w:type="dxa"/>
            <w:vAlign w:val="bottom"/>
          </w:tcPr>
          <w:p>
            <w:pPr>
              <w:ind w:left="2160"/>
              <w:spacing w:after="0"/>
              <w:rPr>
                <w:sz w:val="20"/>
                <w:szCs w:val="20"/>
                <w:color w:val="auto"/>
              </w:rPr>
            </w:pPr>
            <w:r>
              <w:rPr>
                <w:rFonts w:ascii="Arial" w:cs="Arial" w:eastAsia="Arial" w:hAnsi="Arial"/>
                <w:sz w:val="13"/>
                <w:szCs w:val="13"/>
                <w:color w:val="FFFFFE"/>
              </w:rPr>
              <w:t>13</w:t>
            </w:r>
          </w:p>
        </w:tc>
      </w:tr>
      <w:tr>
        <w:trPr>
          <w:trHeight w:val="414"/>
        </w:trPr>
        <w:tc>
          <w:tcPr>
            <w:tcW w:w="20" w:type="dxa"/>
            <w:vAlign w:val="bottom"/>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-496570</wp:posOffset>
            </wp:positionV>
            <wp:extent cx="1408430" cy="3333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2021 PROXY STATEMENT SUMMARY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SUSTAINABILITY</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Our corporate culture is rooted in our five core values. In line with our culture, we are committed to sustainability initiatives that are key to our long-term strategy and benefit our stockholders, clients, employees and communities. See "Sustainability" beginning on page 47 below for more details on our recent accomplishments in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5441315" cy="5608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41315" cy="560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000"/>
          </w:cols>
          <w:pgMar w:left="300" w:top="142" w:right="599" w:bottom="1440" w:gutter="0" w:footer="0" w:header="0"/>
        </w:sectPr>
      </w:pPr>
    </w:p>
    <w:bookmarkStart w:id="15" w:name="page16"/>
    <w:bookmarkEnd w:id="15"/>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 w:type="dxa"/>
        <w:tblCellMar>
          <w:top w:w="0" w:type="dxa"/>
          <w:left w:w="0" w:type="dxa"/>
          <w:bottom w:w="0" w:type="dxa"/>
          <w:right w:w="0" w:type="dxa"/>
        </w:tblCellMar>
      </w:tblPr>
      <w:tr>
        <w:trPr>
          <w:trHeight w:val="136"/>
        </w:trPr>
        <w:tc>
          <w:tcPr>
            <w:tcW w:w="23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gridSpan w:val="4"/>
          </w:tcPr>
          <w:p>
            <w:pPr>
              <w:ind w:left="40"/>
              <w:spacing w:after="0"/>
              <w:rPr>
                <w:sz w:val="20"/>
                <w:szCs w:val="20"/>
                <w:color w:val="auto"/>
              </w:rPr>
            </w:pPr>
            <w:r>
              <w:rPr>
                <w:rFonts w:ascii="Arial" w:cs="Arial" w:eastAsia="Arial" w:hAnsi="Arial"/>
                <w:sz w:val="10"/>
                <w:szCs w:val="10"/>
                <w:b w:val="1"/>
                <w:bCs w:val="1"/>
                <w:color w:val="CCD9D9"/>
              </w:rPr>
              <w:t>2021 PROXY STATEMENT SUMMARY</w:t>
            </w:r>
          </w:p>
        </w:tc>
      </w:tr>
      <w:tr>
        <w:trPr>
          <w:trHeight w:val="300"/>
        </w:trPr>
        <w:tc>
          <w:tcPr>
            <w:tcW w:w="2360" w:type="dxa"/>
            <w:vAlign w:val="bottom"/>
          </w:tcPr>
          <w:p>
            <w:pPr>
              <w:spacing w:after="0"/>
              <w:rPr>
                <w:sz w:val="20"/>
                <w:szCs w:val="20"/>
                <w:color w:val="auto"/>
              </w:rPr>
            </w:pPr>
            <w:r>
              <w:rPr>
                <w:rFonts w:ascii="Arial" w:cs="Arial" w:eastAsia="Arial" w:hAnsi="Arial"/>
                <w:sz w:val="13"/>
                <w:szCs w:val="13"/>
                <w:b w:val="1"/>
                <w:bCs w:val="1"/>
                <w:color w:val="FF4000"/>
              </w:rPr>
              <w:t>2020 COMPENSATION HIGHLIGHTS</w:t>
            </w:r>
          </w:p>
        </w:tc>
        <w:tc>
          <w:tcPr>
            <w:tcW w:w="3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2"/>
        </w:trPr>
        <w:tc>
          <w:tcPr>
            <w:tcW w:w="2360" w:type="dxa"/>
            <w:vAlign w:val="bottom"/>
          </w:tcPr>
          <w:p>
            <w:pPr>
              <w:spacing w:after="0"/>
              <w:rPr>
                <w:sz w:val="20"/>
                <w:szCs w:val="20"/>
                <w:color w:val="auto"/>
              </w:rPr>
            </w:pPr>
            <w:r>
              <w:rPr>
                <w:rFonts w:ascii="Arial" w:cs="Arial" w:eastAsia="Arial" w:hAnsi="Arial"/>
                <w:sz w:val="13"/>
                <w:szCs w:val="13"/>
                <w:b w:val="1"/>
                <w:bCs w:val="1"/>
                <w:color w:val="479EFF"/>
              </w:rPr>
              <w:t>Named Executive Officers</w:t>
            </w:r>
          </w:p>
        </w:tc>
        <w:tc>
          <w:tcPr>
            <w:tcW w:w="3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2"/>
        </w:trPr>
        <w:tc>
          <w:tcPr>
            <w:tcW w:w="2360" w:type="dxa"/>
            <w:vAlign w:val="bottom"/>
            <w:tcBorders>
              <w:bottom w:val="single" w:sz="8" w:color="479EFF"/>
            </w:tcBorders>
          </w:tcPr>
          <w:p>
            <w:pPr>
              <w:spacing w:after="0"/>
              <w:rPr>
                <w:sz w:val="20"/>
                <w:szCs w:val="20"/>
                <w:color w:val="auto"/>
              </w:rPr>
            </w:pPr>
            <w:r>
              <w:rPr>
                <w:rFonts w:ascii="Arial" w:cs="Arial" w:eastAsia="Arial" w:hAnsi="Arial"/>
                <w:sz w:val="13"/>
                <w:szCs w:val="13"/>
                <w:b w:val="1"/>
                <w:bCs w:val="1"/>
                <w:color w:val="479EFF"/>
              </w:rPr>
              <w:t>Name</w:t>
            </w:r>
          </w:p>
        </w:tc>
        <w:tc>
          <w:tcPr>
            <w:tcW w:w="4520" w:type="dxa"/>
            <w:vAlign w:val="bottom"/>
            <w:tcBorders>
              <w:bottom w:val="single" w:sz="8" w:color="479EFF"/>
            </w:tcBorders>
            <w:gridSpan w:val="2"/>
          </w:tcPr>
          <w:p>
            <w:pPr>
              <w:ind w:left="100"/>
              <w:spacing w:after="0"/>
              <w:rPr>
                <w:sz w:val="20"/>
                <w:szCs w:val="20"/>
                <w:color w:val="auto"/>
              </w:rPr>
            </w:pPr>
            <w:r>
              <w:rPr>
                <w:rFonts w:ascii="Arial" w:cs="Arial" w:eastAsia="Arial" w:hAnsi="Arial"/>
                <w:sz w:val="13"/>
                <w:szCs w:val="13"/>
                <w:b w:val="1"/>
                <w:bCs w:val="1"/>
                <w:color w:val="479EFF"/>
              </w:rPr>
              <w:t>Title</w:t>
            </w:r>
          </w:p>
        </w:tc>
        <w:tc>
          <w:tcPr>
            <w:tcW w:w="900" w:type="dxa"/>
            <w:vAlign w:val="bottom"/>
            <w:tcBorders>
              <w:bottom w:val="single" w:sz="8" w:color="479EFF"/>
            </w:tcBorders>
          </w:tcPr>
          <w:p>
            <w:pPr>
              <w:spacing w:after="0"/>
              <w:rPr>
                <w:sz w:val="24"/>
                <w:szCs w:val="24"/>
                <w:color w:val="auto"/>
              </w:rPr>
            </w:pPr>
          </w:p>
        </w:tc>
        <w:tc>
          <w:tcPr>
            <w:tcW w:w="900" w:type="dxa"/>
            <w:vAlign w:val="bottom"/>
            <w:tcBorders>
              <w:bottom w:val="single" w:sz="8" w:color="479EFF"/>
            </w:tcBorders>
          </w:tcPr>
          <w:p>
            <w:pPr>
              <w:spacing w:after="0"/>
              <w:rPr>
                <w:sz w:val="24"/>
                <w:szCs w:val="24"/>
                <w:color w:val="auto"/>
              </w:rPr>
            </w:pPr>
          </w:p>
        </w:tc>
        <w:tc>
          <w:tcPr>
            <w:tcW w:w="740" w:type="dxa"/>
            <w:vAlign w:val="bottom"/>
            <w:tcBorders>
              <w:bottom w:val="single" w:sz="8" w:color="479EFF"/>
            </w:tcBorders>
          </w:tcPr>
          <w:p>
            <w:pPr>
              <w:spacing w:after="0"/>
              <w:rPr>
                <w:sz w:val="24"/>
                <w:szCs w:val="24"/>
                <w:color w:val="auto"/>
              </w:rPr>
            </w:pPr>
          </w:p>
        </w:tc>
        <w:tc>
          <w:tcPr>
            <w:tcW w:w="140" w:type="dxa"/>
            <w:vAlign w:val="bottom"/>
            <w:tcBorders>
              <w:bottom w:val="single" w:sz="8" w:color="479EFF"/>
            </w:tcBorders>
          </w:tcPr>
          <w:p>
            <w:pPr>
              <w:spacing w:after="0"/>
              <w:rPr>
                <w:sz w:val="24"/>
                <w:szCs w:val="24"/>
                <w:color w:val="auto"/>
              </w:rPr>
            </w:pPr>
          </w:p>
        </w:tc>
        <w:tc>
          <w:tcPr>
            <w:tcW w:w="900" w:type="dxa"/>
            <w:vAlign w:val="bottom"/>
            <w:tcBorders>
              <w:bottom w:val="single" w:sz="8" w:color="479EFF"/>
            </w:tcBorders>
          </w:tcPr>
          <w:p>
            <w:pPr>
              <w:spacing w:after="0"/>
              <w:rPr>
                <w:sz w:val="24"/>
                <w:szCs w:val="24"/>
                <w:color w:val="auto"/>
              </w:rPr>
            </w:pPr>
          </w:p>
        </w:tc>
        <w:tc>
          <w:tcPr>
            <w:tcW w:w="720" w:type="dxa"/>
            <w:vAlign w:val="bottom"/>
            <w:tcBorders>
              <w:bottom w:val="single" w:sz="8" w:color="479EFF"/>
            </w:tcBorders>
          </w:tcPr>
          <w:p>
            <w:pPr>
              <w:spacing w:after="0"/>
              <w:rPr>
                <w:sz w:val="24"/>
                <w:szCs w:val="24"/>
                <w:color w:val="auto"/>
              </w:rPr>
            </w:pPr>
          </w:p>
        </w:tc>
        <w:tc>
          <w:tcPr>
            <w:tcW w:w="120" w:type="dxa"/>
            <w:vAlign w:val="bottom"/>
            <w:tcBorders>
              <w:bottom w:val="single" w:sz="8" w:color="479EFF"/>
            </w:tcBorders>
          </w:tcPr>
          <w:p>
            <w:pPr>
              <w:spacing w:after="0"/>
              <w:rPr>
                <w:sz w:val="24"/>
                <w:szCs w:val="24"/>
                <w:color w:val="auto"/>
              </w:rPr>
            </w:pPr>
          </w:p>
        </w:tc>
      </w:tr>
      <w:tr>
        <w:trPr>
          <w:trHeight w:val="146"/>
        </w:trPr>
        <w:tc>
          <w:tcPr>
            <w:tcW w:w="236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Rohit Kapoor</w:t>
            </w:r>
          </w:p>
        </w:tc>
        <w:tc>
          <w:tcPr>
            <w:tcW w:w="4520" w:type="dxa"/>
            <w:vAlign w:val="bottom"/>
            <w:tcBorders>
              <w:bottom w:val="single" w:sz="8" w:color="auto"/>
            </w:tcBorders>
            <w:gridSpan w:val="2"/>
          </w:tcPr>
          <w:p>
            <w:pPr>
              <w:ind w:left="100"/>
              <w:spacing w:after="0" w:line="146" w:lineRule="exact"/>
              <w:rPr>
                <w:sz w:val="20"/>
                <w:szCs w:val="20"/>
                <w:color w:val="auto"/>
              </w:rPr>
            </w:pPr>
            <w:r>
              <w:rPr>
                <w:rFonts w:ascii="Arial" w:cs="Arial" w:eastAsia="Arial" w:hAnsi="Arial"/>
                <w:sz w:val="13"/>
                <w:szCs w:val="13"/>
                <w:color w:val="auto"/>
              </w:rPr>
              <w:t>Vice Chairman and CEO</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r>
        <w:trPr>
          <w:trHeight w:val="136"/>
        </w:trPr>
        <w:tc>
          <w:tcPr>
            <w:tcW w:w="23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Maurizio Nicolelli</w:t>
            </w:r>
          </w:p>
        </w:tc>
        <w:tc>
          <w:tcPr>
            <w:tcW w:w="4520" w:type="dxa"/>
            <w:vAlign w:val="bottom"/>
            <w:tcBorders>
              <w:bottom w:val="single" w:sz="8" w:color="auto"/>
            </w:tcBorders>
            <w:gridSpan w:val="2"/>
          </w:tcPr>
          <w:p>
            <w:pPr>
              <w:ind w:left="100"/>
              <w:spacing w:after="0" w:line="136" w:lineRule="exact"/>
              <w:rPr>
                <w:sz w:val="20"/>
                <w:szCs w:val="20"/>
                <w:color w:val="auto"/>
              </w:rPr>
            </w:pPr>
            <w:r>
              <w:rPr>
                <w:rFonts w:ascii="Arial" w:cs="Arial" w:eastAsia="Arial" w:hAnsi="Arial"/>
                <w:sz w:val="13"/>
                <w:szCs w:val="13"/>
                <w:color w:val="auto"/>
              </w:rPr>
              <w:t>Executive Vice President and CFO</w:t>
            </w:r>
          </w:p>
        </w:tc>
        <w:tc>
          <w:tcPr>
            <w:tcW w:w="9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r>
        <w:trPr>
          <w:trHeight w:val="136"/>
        </w:trPr>
        <w:tc>
          <w:tcPr>
            <w:tcW w:w="23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Pavan Bagai</w:t>
            </w:r>
          </w:p>
        </w:tc>
        <w:tc>
          <w:tcPr>
            <w:tcW w:w="4520" w:type="dxa"/>
            <w:vAlign w:val="bottom"/>
            <w:tcBorders>
              <w:bottom w:val="single" w:sz="8" w:color="auto"/>
            </w:tcBorders>
            <w:gridSpan w:val="2"/>
          </w:tcPr>
          <w:p>
            <w:pPr>
              <w:ind w:left="100"/>
              <w:spacing w:after="0" w:line="136" w:lineRule="exact"/>
              <w:rPr>
                <w:sz w:val="20"/>
                <w:szCs w:val="20"/>
                <w:color w:val="auto"/>
              </w:rPr>
            </w:pPr>
            <w:r>
              <w:rPr>
                <w:rFonts w:ascii="Arial" w:cs="Arial" w:eastAsia="Arial" w:hAnsi="Arial"/>
                <w:sz w:val="13"/>
                <w:szCs w:val="13"/>
                <w:color w:val="auto"/>
              </w:rPr>
              <w:t>President and Chief Operating Officer and Former Interim CFO</w:t>
            </w:r>
          </w:p>
        </w:tc>
        <w:tc>
          <w:tcPr>
            <w:tcW w:w="9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r>
        <w:trPr>
          <w:trHeight w:val="136"/>
        </w:trPr>
        <w:tc>
          <w:tcPr>
            <w:tcW w:w="23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Nalin Miglani</w:t>
            </w:r>
          </w:p>
        </w:tc>
        <w:tc>
          <w:tcPr>
            <w:tcW w:w="4520" w:type="dxa"/>
            <w:vAlign w:val="bottom"/>
            <w:tcBorders>
              <w:bottom w:val="single" w:sz="8" w:color="auto"/>
            </w:tcBorders>
            <w:gridSpan w:val="2"/>
          </w:tcPr>
          <w:p>
            <w:pPr>
              <w:ind w:left="100"/>
              <w:spacing w:after="0" w:line="136" w:lineRule="exact"/>
              <w:rPr>
                <w:sz w:val="20"/>
                <w:szCs w:val="20"/>
                <w:color w:val="auto"/>
              </w:rPr>
            </w:pPr>
            <w:r>
              <w:rPr>
                <w:rFonts w:ascii="Arial" w:cs="Arial" w:eastAsia="Arial" w:hAnsi="Arial"/>
                <w:sz w:val="13"/>
                <w:szCs w:val="13"/>
                <w:color w:val="auto"/>
              </w:rPr>
              <w:t>Executive Vice President and Chief Human Resources Officer</w:t>
            </w:r>
          </w:p>
        </w:tc>
        <w:tc>
          <w:tcPr>
            <w:tcW w:w="9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r>
        <w:trPr>
          <w:trHeight w:val="136"/>
        </w:trPr>
        <w:tc>
          <w:tcPr>
            <w:tcW w:w="23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Vikas Bhalla</w:t>
            </w:r>
          </w:p>
        </w:tc>
        <w:tc>
          <w:tcPr>
            <w:tcW w:w="4520" w:type="dxa"/>
            <w:vAlign w:val="bottom"/>
            <w:tcBorders>
              <w:bottom w:val="single" w:sz="8" w:color="auto"/>
            </w:tcBorders>
            <w:gridSpan w:val="2"/>
          </w:tcPr>
          <w:p>
            <w:pPr>
              <w:ind w:left="100"/>
              <w:spacing w:after="0" w:line="136" w:lineRule="exact"/>
              <w:rPr>
                <w:sz w:val="20"/>
                <w:szCs w:val="20"/>
                <w:color w:val="auto"/>
              </w:rPr>
            </w:pPr>
            <w:r>
              <w:rPr>
                <w:rFonts w:ascii="Arial" w:cs="Arial" w:eastAsia="Arial" w:hAnsi="Arial"/>
                <w:sz w:val="13"/>
                <w:szCs w:val="13"/>
                <w:color w:val="auto"/>
              </w:rPr>
              <w:t>Executive Vice President and Business Head, Insurance</w:t>
            </w:r>
          </w:p>
        </w:tc>
        <w:tc>
          <w:tcPr>
            <w:tcW w:w="9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r>
        <w:trPr>
          <w:trHeight w:val="145"/>
        </w:trPr>
        <w:tc>
          <w:tcPr>
            <w:tcW w:w="236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Samuel Meckey</w:t>
            </w:r>
          </w:p>
        </w:tc>
        <w:tc>
          <w:tcPr>
            <w:tcW w:w="4520" w:type="dxa"/>
            <w:vAlign w:val="bottom"/>
            <w:tcBorders>
              <w:bottom w:val="single" w:sz="8" w:color="479EFF"/>
            </w:tcBorders>
            <w:gridSpan w:val="2"/>
          </w:tcPr>
          <w:p>
            <w:pPr>
              <w:ind w:left="100"/>
              <w:spacing w:after="0" w:line="136" w:lineRule="exact"/>
              <w:rPr>
                <w:sz w:val="20"/>
                <w:szCs w:val="20"/>
                <w:color w:val="auto"/>
              </w:rPr>
            </w:pPr>
            <w:r>
              <w:rPr>
                <w:rFonts w:ascii="Arial" w:cs="Arial" w:eastAsia="Arial" w:hAnsi="Arial"/>
                <w:sz w:val="13"/>
                <w:szCs w:val="13"/>
                <w:color w:val="auto"/>
              </w:rPr>
              <w:t>Executive Vice President and Business Head, Healthcare</w:t>
            </w:r>
          </w:p>
        </w:tc>
        <w:tc>
          <w:tcPr>
            <w:tcW w:w="900" w:type="dxa"/>
            <w:vAlign w:val="bottom"/>
            <w:tcBorders>
              <w:bottom w:val="single" w:sz="8" w:color="479EFF"/>
            </w:tcBorders>
          </w:tcPr>
          <w:p>
            <w:pPr>
              <w:spacing w:after="0"/>
              <w:rPr>
                <w:sz w:val="12"/>
                <w:szCs w:val="12"/>
                <w:color w:val="auto"/>
              </w:rPr>
            </w:pPr>
          </w:p>
        </w:tc>
        <w:tc>
          <w:tcPr>
            <w:tcW w:w="900" w:type="dxa"/>
            <w:vAlign w:val="bottom"/>
            <w:tcBorders>
              <w:bottom w:val="single" w:sz="8" w:color="479EFF"/>
            </w:tcBorders>
          </w:tcPr>
          <w:p>
            <w:pPr>
              <w:spacing w:after="0"/>
              <w:rPr>
                <w:sz w:val="12"/>
                <w:szCs w:val="12"/>
                <w:color w:val="auto"/>
              </w:rPr>
            </w:pPr>
          </w:p>
        </w:tc>
        <w:tc>
          <w:tcPr>
            <w:tcW w:w="740" w:type="dxa"/>
            <w:vAlign w:val="bottom"/>
            <w:tcBorders>
              <w:bottom w:val="single" w:sz="8" w:color="479EFF"/>
            </w:tcBorders>
          </w:tcPr>
          <w:p>
            <w:pPr>
              <w:spacing w:after="0"/>
              <w:rPr>
                <w:sz w:val="12"/>
                <w:szCs w:val="12"/>
                <w:color w:val="auto"/>
              </w:rPr>
            </w:pPr>
          </w:p>
        </w:tc>
        <w:tc>
          <w:tcPr>
            <w:tcW w:w="140" w:type="dxa"/>
            <w:vAlign w:val="bottom"/>
            <w:tcBorders>
              <w:bottom w:val="single" w:sz="8" w:color="479EFF"/>
            </w:tcBorders>
          </w:tcPr>
          <w:p>
            <w:pPr>
              <w:spacing w:after="0"/>
              <w:rPr>
                <w:sz w:val="12"/>
                <w:szCs w:val="12"/>
                <w:color w:val="auto"/>
              </w:rPr>
            </w:pPr>
          </w:p>
        </w:tc>
        <w:tc>
          <w:tcPr>
            <w:tcW w:w="900" w:type="dxa"/>
            <w:vAlign w:val="bottom"/>
            <w:tcBorders>
              <w:bottom w:val="single" w:sz="8" w:color="479EFF"/>
            </w:tcBorders>
          </w:tcPr>
          <w:p>
            <w:pPr>
              <w:spacing w:after="0"/>
              <w:rPr>
                <w:sz w:val="12"/>
                <w:szCs w:val="12"/>
                <w:color w:val="auto"/>
              </w:rPr>
            </w:pPr>
          </w:p>
        </w:tc>
        <w:tc>
          <w:tcPr>
            <w:tcW w:w="720" w:type="dxa"/>
            <w:vAlign w:val="bottom"/>
            <w:tcBorders>
              <w:bottom w:val="single" w:sz="8" w:color="479EFF"/>
            </w:tcBorders>
          </w:tcPr>
          <w:p>
            <w:pPr>
              <w:spacing w:after="0"/>
              <w:rPr>
                <w:sz w:val="12"/>
                <w:szCs w:val="12"/>
                <w:color w:val="auto"/>
              </w:rPr>
            </w:pPr>
          </w:p>
        </w:tc>
        <w:tc>
          <w:tcPr>
            <w:tcW w:w="120" w:type="dxa"/>
            <w:vAlign w:val="bottom"/>
            <w:tcBorders>
              <w:bottom w:val="single" w:sz="8" w:color="479EFF"/>
            </w:tcBorders>
          </w:tcPr>
          <w:p>
            <w:pPr>
              <w:spacing w:after="0"/>
              <w:rPr>
                <w:sz w:val="12"/>
                <w:szCs w:val="12"/>
                <w:color w:val="auto"/>
              </w:rPr>
            </w:pPr>
          </w:p>
        </w:tc>
      </w:tr>
      <w:tr>
        <w:trPr>
          <w:trHeight w:val="310"/>
        </w:trPr>
        <w:tc>
          <w:tcPr>
            <w:tcW w:w="2360" w:type="dxa"/>
            <w:vAlign w:val="bottom"/>
          </w:tcPr>
          <w:p>
            <w:pPr>
              <w:spacing w:after="0"/>
              <w:rPr>
                <w:sz w:val="20"/>
                <w:szCs w:val="20"/>
                <w:color w:val="auto"/>
              </w:rPr>
            </w:pPr>
            <w:r>
              <w:rPr>
                <w:rFonts w:ascii="Arial" w:cs="Arial" w:eastAsia="Arial" w:hAnsi="Arial"/>
                <w:sz w:val="13"/>
                <w:szCs w:val="13"/>
                <w:b w:val="1"/>
                <w:bCs w:val="1"/>
                <w:color w:val="479EFF"/>
              </w:rPr>
              <w:t>2020 Standard Annual Compensation</w:t>
            </w:r>
          </w:p>
        </w:tc>
        <w:tc>
          <w:tcPr>
            <w:tcW w:w="3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3"/>
        </w:trPr>
        <w:tc>
          <w:tcPr>
            <w:tcW w:w="2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b w:val="1"/>
                <w:bCs w:val="1"/>
                <w:color w:val="479EFF"/>
              </w:rPr>
              <w:t>Rohit</w:t>
            </w:r>
          </w:p>
        </w:tc>
        <w:tc>
          <w:tcPr>
            <w:tcW w:w="900" w:type="dxa"/>
            <w:vAlign w:val="bottom"/>
          </w:tcPr>
          <w:p>
            <w:pPr>
              <w:jc w:val="right"/>
              <w:ind w:right="197"/>
              <w:spacing w:after="0"/>
              <w:rPr>
                <w:sz w:val="20"/>
                <w:szCs w:val="20"/>
                <w:color w:val="auto"/>
              </w:rPr>
            </w:pPr>
            <w:r>
              <w:rPr>
                <w:rFonts w:ascii="Arial" w:cs="Arial" w:eastAsia="Arial" w:hAnsi="Arial"/>
                <w:sz w:val="13"/>
                <w:szCs w:val="13"/>
                <w:b w:val="1"/>
                <w:bCs w:val="1"/>
                <w:color w:val="479EFF"/>
              </w:rPr>
              <w:t>Maurizio</w:t>
            </w:r>
          </w:p>
        </w:tc>
        <w:tc>
          <w:tcPr>
            <w:tcW w:w="900" w:type="dxa"/>
            <w:vAlign w:val="bottom"/>
          </w:tcPr>
          <w:p>
            <w:pPr>
              <w:jc w:val="right"/>
              <w:ind w:right="277"/>
              <w:spacing w:after="0"/>
              <w:rPr>
                <w:sz w:val="20"/>
                <w:szCs w:val="20"/>
                <w:color w:val="auto"/>
              </w:rPr>
            </w:pPr>
            <w:r>
              <w:rPr>
                <w:rFonts w:ascii="Arial" w:cs="Arial" w:eastAsia="Arial" w:hAnsi="Arial"/>
                <w:sz w:val="13"/>
                <w:szCs w:val="13"/>
                <w:b w:val="1"/>
                <w:bCs w:val="1"/>
                <w:color w:val="479EFF"/>
              </w:rPr>
              <w:t>Pavan</w:t>
            </w: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479EFF"/>
              </w:rPr>
              <w:t>Nalin</w:t>
            </w:r>
          </w:p>
        </w:tc>
        <w:tc>
          <w:tcPr>
            <w:tcW w:w="140" w:type="dxa"/>
            <w:vAlign w:val="bottom"/>
          </w:tcPr>
          <w:p>
            <w:pPr>
              <w:spacing w:after="0"/>
              <w:rPr>
                <w:sz w:val="24"/>
                <w:szCs w:val="24"/>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b w:val="1"/>
                <w:bCs w:val="1"/>
                <w:color w:val="479EFF"/>
              </w:rPr>
              <w:t>Vikas</w:t>
            </w: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479EFF"/>
              </w:rPr>
              <w:t>Samuel</w:t>
            </w:r>
          </w:p>
        </w:tc>
      </w:tr>
      <w:tr>
        <w:trPr>
          <w:trHeight w:val="175"/>
        </w:trPr>
        <w:tc>
          <w:tcPr>
            <w:tcW w:w="2360" w:type="dxa"/>
            <w:vAlign w:val="bottom"/>
          </w:tcPr>
          <w:p>
            <w:pPr>
              <w:spacing w:after="0"/>
              <w:rPr>
                <w:sz w:val="20"/>
                <w:szCs w:val="20"/>
                <w:color w:val="auto"/>
              </w:rPr>
            </w:pPr>
            <w:r>
              <w:rPr>
                <w:rFonts w:ascii="Arial" w:cs="Arial" w:eastAsia="Arial" w:hAnsi="Arial"/>
                <w:sz w:val="13"/>
                <w:szCs w:val="13"/>
                <w:b w:val="1"/>
                <w:bCs w:val="1"/>
                <w:color w:val="479EFF"/>
              </w:rPr>
              <w:t>Compensation Component</w:t>
            </w:r>
          </w:p>
        </w:tc>
        <w:tc>
          <w:tcPr>
            <w:tcW w:w="3620" w:type="dxa"/>
            <w:vAlign w:val="bottom"/>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b w:val="1"/>
                <w:bCs w:val="1"/>
                <w:color w:val="479EFF"/>
              </w:rPr>
              <w:t>Kapoor</w:t>
            </w:r>
          </w:p>
        </w:tc>
        <w:tc>
          <w:tcPr>
            <w:tcW w:w="900" w:type="dxa"/>
            <w:vAlign w:val="bottom"/>
          </w:tcPr>
          <w:p>
            <w:pPr>
              <w:jc w:val="right"/>
              <w:ind w:right="217"/>
              <w:spacing w:after="0"/>
              <w:rPr>
                <w:sz w:val="20"/>
                <w:szCs w:val="20"/>
                <w:color w:val="auto"/>
              </w:rPr>
            </w:pPr>
            <w:r>
              <w:rPr>
                <w:rFonts w:ascii="Arial" w:cs="Arial" w:eastAsia="Arial" w:hAnsi="Arial"/>
                <w:sz w:val="13"/>
                <w:szCs w:val="13"/>
                <w:b w:val="1"/>
                <w:bCs w:val="1"/>
                <w:color w:val="479EFF"/>
              </w:rPr>
              <w:t>Nicolelli</w:t>
            </w:r>
          </w:p>
        </w:tc>
        <w:tc>
          <w:tcPr>
            <w:tcW w:w="900" w:type="dxa"/>
            <w:vAlign w:val="bottom"/>
          </w:tcPr>
          <w:p>
            <w:pPr>
              <w:jc w:val="right"/>
              <w:ind w:right="217"/>
              <w:spacing w:after="0" w:line="175" w:lineRule="exact"/>
              <w:rPr>
                <w:sz w:val="20"/>
                <w:szCs w:val="20"/>
                <w:color w:val="auto"/>
              </w:rPr>
            </w:pPr>
            <w:r>
              <w:rPr>
                <w:rFonts w:ascii="Arial" w:cs="Arial" w:eastAsia="Arial" w:hAnsi="Arial"/>
                <w:sz w:val="12"/>
                <w:szCs w:val="12"/>
                <w:b w:val="1"/>
                <w:bCs w:val="1"/>
                <w:color w:val="479EFF"/>
              </w:rPr>
              <w:t>Bagai</w:t>
            </w:r>
            <w:r>
              <w:rPr>
                <w:rFonts w:ascii="Arial" w:cs="Arial" w:eastAsia="Arial" w:hAnsi="Arial"/>
                <w:sz w:val="20"/>
                <w:szCs w:val="20"/>
                <w:b w:val="1"/>
                <w:bCs w:val="1"/>
                <w:color w:val="479EFF"/>
                <w:vertAlign w:val="superscript"/>
              </w:rPr>
              <w:t>(4)</w:t>
            </w:r>
          </w:p>
        </w:tc>
        <w:tc>
          <w:tcPr>
            <w:tcW w:w="740" w:type="dxa"/>
            <w:vAlign w:val="bottom"/>
          </w:tcPr>
          <w:p>
            <w:pPr>
              <w:jc w:val="right"/>
              <w:ind w:right="77"/>
              <w:spacing w:after="0"/>
              <w:rPr>
                <w:sz w:val="20"/>
                <w:szCs w:val="20"/>
                <w:color w:val="auto"/>
              </w:rPr>
            </w:pPr>
            <w:r>
              <w:rPr>
                <w:rFonts w:ascii="Arial" w:cs="Arial" w:eastAsia="Arial" w:hAnsi="Arial"/>
                <w:sz w:val="13"/>
                <w:szCs w:val="13"/>
                <w:b w:val="1"/>
                <w:bCs w:val="1"/>
                <w:color w:val="479EFF"/>
              </w:rPr>
              <w:t>Miglani</w:t>
            </w:r>
          </w:p>
        </w:tc>
        <w:tc>
          <w:tcPr>
            <w:tcW w:w="140" w:type="dxa"/>
            <w:vAlign w:val="bottom"/>
          </w:tcPr>
          <w:p>
            <w:pPr>
              <w:spacing w:after="0"/>
              <w:rPr>
                <w:sz w:val="15"/>
                <w:szCs w:val="15"/>
                <w:color w:val="auto"/>
              </w:rPr>
            </w:pPr>
          </w:p>
        </w:tc>
        <w:tc>
          <w:tcPr>
            <w:tcW w:w="900" w:type="dxa"/>
            <w:vAlign w:val="bottom"/>
          </w:tcPr>
          <w:p>
            <w:pPr>
              <w:jc w:val="right"/>
              <w:ind w:right="197"/>
              <w:spacing w:after="0" w:line="175" w:lineRule="exact"/>
              <w:rPr>
                <w:sz w:val="20"/>
                <w:szCs w:val="20"/>
                <w:color w:val="auto"/>
              </w:rPr>
            </w:pPr>
            <w:r>
              <w:rPr>
                <w:rFonts w:ascii="Arial" w:cs="Arial" w:eastAsia="Arial" w:hAnsi="Arial"/>
                <w:sz w:val="12"/>
                <w:szCs w:val="12"/>
                <w:b w:val="1"/>
                <w:bCs w:val="1"/>
                <w:color w:val="479EFF"/>
              </w:rPr>
              <w:t>Bhalla</w:t>
            </w:r>
            <w:r>
              <w:rPr>
                <w:rFonts w:ascii="Arial" w:cs="Arial" w:eastAsia="Arial" w:hAnsi="Arial"/>
                <w:sz w:val="20"/>
                <w:szCs w:val="20"/>
                <w:b w:val="1"/>
                <w:bCs w:val="1"/>
                <w:color w:val="479EFF"/>
                <w:vertAlign w:val="superscript"/>
              </w:rPr>
              <w:t>(4)</w:t>
            </w: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479EFF"/>
              </w:rPr>
              <w:t>Meckey</w:t>
            </w:r>
          </w:p>
        </w:tc>
      </w:tr>
      <w:tr>
        <w:trPr>
          <w:trHeight w:val="167"/>
        </w:trPr>
        <w:tc>
          <w:tcPr>
            <w:tcW w:w="2360" w:type="dxa"/>
            <w:vAlign w:val="bottom"/>
            <w:tcBorders>
              <w:top w:val="single" w:sz="8" w:color="auto"/>
            </w:tcBorders>
          </w:tcPr>
          <w:p>
            <w:pPr>
              <w:spacing w:after="0" w:line="167" w:lineRule="exact"/>
              <w:rPr>
                <w:sz w:val="20"/>
                <w:szCs w:val="20"/>
                <w:color w:val="auto"/>
              </w:rPr>
            </w:pPr>
            <w:r>
              <w:rPr>
                <w:rFonts w:ascii="Arial" w:cs="Arial" w:eastAsia="Arial" w:hAnsi="Arial"/>
                <w:sz w:val="12"/>
                <w:szCs w:val="12"/>
                <w:color w:val="auto"/>
              </w:rPr>
              <w:t xml:space="preserve">Salary </w:t>
            </w:r>
            <w:r>
              <w:rPr>
                <w:rFonts w:ascii="Arial" w:cs="Arial" w:eastAsia="Arial" w:hAnsi="Arial"/>
                <w:sz w:val="19"/>
                <w:szCs w:val="19"/>
                <w:color w:val="auto"/>
                <w:vertAlign w:val="superscript"/>
              </w:rPr>
              <w:t>(1)</w:t>
            </w:r>
          </w:p>
        </w:tc>
        <w:tc>
          <w:tcPr>
            <w:tcW w:w="36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$599,016</w:t>
            </w:r>
          </w:p>
        </w:tc>
        <w:tc>
          <w:tcPr>
            <w:tcW w:w="900" w:type="dxa"/>
            <w:vAlign w:val="bottom"/>
            <w:tcBorders>
              <w:top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$384,283</w:t>
            </w:r>
          </w:p>
        </w:tc>
        <w:tc>
          <w:tcPr>
            <w:tcW w:w="900" w:type="dxa"/>
            <w:vAlign w:val="bottom"/>
            <w:tcBorders>
              <w:top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$300,977</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$404,631</w:t>
            </w:r>
          </w:p>
        </w:tc>
        <w:tc>
          <w:tcPr>
            <w:tcW w:w="14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$229,016</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$382,152</w:t>
            </w:r>
          </w:p>
        </w:tc>
        <w:tc>
          <w:tcPr>
            <w:tcW w:w="120" w:type="dxa"/>
            <w:vAlign w:val="bottom"/>
          </w:tcPr>
          <w:p>
            <w:pPr>
              <w:spacing w:after="0"/>
              <w:rPr>
                <w:sz w:val="14"/>
                <w:szCs w:val="14"/>
                <w:color w:val="auto"/>
              </w:rPr>
            </w:pPr>
          </w:p>
        </w:tc>
      </w:tr>
      <w:tr>
        <w:trPr>
          <w:trHeight w:val="146"/>
        </w:trPr>
        <w:tc>
          <w:tcPr>
            <w:tcW w:w="2360" w:type="dxa"/>
            <w:vAlign w:val="bottom"/>
          </w:tcPr>
          <w:p>
            <w:pPr>
              <w:spacing w:after="0" w:line="146" w:lineRule="exact"/>
              <w:rPr>
                <w:sz w:val="20"/>
                <w:szCs w:val="20"/>
                <w:color w:val="auto"/>
              </w:rPr>
            </w:pPr>
            <w:r>
              <w:rPr>
                <w:rFonts w:ascii="Arial" w:cs="Arial" w:eastAsia="Arial" w:hAnsi="Arial"/>
                <w:sz w:val="13"/>
                <w:szCs w:val="13"/>
                <w:color w:val="auto"/>
                <w:w w:val="97"/>
              </w:rPr>
              <w:t>Non-Equity Incentive Plan Compensation</w:t>
            </w:r>
          </w:p>
        </w:tc>
        <w:tc>
          <w:tcPr>
            <w:tcW w:w="36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ind w:right="117"/>
              <w:spacing w:after="0" w:line="146" w:lineRule="exact"/>
              <w:rPr>
                <w:sz w:val="20"/>
                <w:szCs w:val="20"/>
                <w:color w:val="auto"/>
              </w:rPr>
            </w:pPr>
            <w:r>
              <w:rPr>
                <w:rFonts w:ascii="Arial" w:cs="Arial" w:eastAsia="Arial" w:hAnsi="Arial"/>
                <w:sz w:val="13"/>
                <w:szCs w:val="13"/>
                <w:color w:val="auto"/>
              </w:rPr>
              <w:t>810,000</w:t>
            </w:r>
          </w:p>
        </w:tc>
        <w:tc>
          <w:tcPr>
            <w:tcW w:w="900" w:type="dxa"/>
            <w:vAlign w:val="bottom"/>
            <w:tcBorders>
              <w:right w:val="single" w:sz="8" w:color="auto"/>
            </w:tcBorders>
          </w:tcPr>
          <w:p>
            <w:pPr>
              <w:jc w:val="right"/>
              <w:ind w:right="117"/>
              <w:spacing w:after="0" w:line="146" w:lineRule="exact"/>
              <w:rPr>
                <w:sz w:val="20"/>
                <w:szCs w:val="20"/>
                <w:color w:val="auto"/>
              </w:rPr>
            </w:pPr>
            <w:r>
              <w:rPr>
                <w:rFonts w:ascii="Arial" w:cs="Arial" w:eastAsia="Arial" w:hAnsi="Arial"/>
                <w:sz w:val="13"/>
                <w:szCs w:val="13"/>
                <w:color w:val="auto"/>
              </w:rPr>
              <w:t>243,097</w:t>
            </w:r>
          </w:p>
        </w:tc>
        <w:tc>
          <w:tcPr>
            <w:tcW w:w="900" w:type="dxa"/>
            <w:vAlign w:val="bottom"/>
            <w:tcBorders>
              <w:right w:val="single" w:sz="8" w:color="auto"/>
            </w:tcBorders>
          </w:tcPr>
          <w:p>
            <w:pPr>
              <w:jc w:val="right"/>
              <w:ind w:right="137"/>
              <w:spacing w:after="0" w:line="146" w:lineRule="exact"/>
              <w:rPr>
                <w:sz w:val="20"/>
                <w:szCs w:val="20"/>
                <w:color w:val="auto"/>
              </w:rPr>
            </w:pPr>
            <w:r>
              <w:rPr>
                <w:rFonts w:ascii="Arial" w:cs="Arial" w:eastAsia="Arial" w:hAnsi="Arial"/>
                <w:sz w:val="13"/>
                <w:szCs w:val="13"/>
                <w:color w:val="auto"/>
              </w:rPr>
              <w:t>200,164</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253,125</w:t>
            </w:r>
          </w:p>
        </w:tc>
        <w:tc>
          <w:tcPr>
            <w:tcW w:w="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ind w:right="117"/>
              <w:spacing w:after="0" w:line="146" w:lineRule="exact"/>
              <w:rPr>
                <w:sz w:val="20"/>
                <w:szCs w:val="20"/>
                <w:color w:val="auto"/>
              </w:rPr>
            </w:pPr>
            <w:r>
              <w:rPr>
                <w:rFonts w:ascii="Arial" w:cs="Arial" w:eastAsia="Arial" w:hAnsi="Arial"/>
                <w:sz w:val="13"/>
                <w:szCs w:val="13"/>
                <w:color w:val="auto"/>
              </w:rPr>
              <w:t>169,370</w:t>
            </w: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239,063</w:t>
            </w:r>
          </w:p>
        </w:tc>
        <w:tc>
          <w:tcPr>
            <w:tcW w:w="120" w:type="dxa"/>
            <w:vAlign w:val="bottom"/>
          </w:tcPr>
          <w:p>
            <w:pPr>
              <w:spacing w:after="0"/>
              <w:rPr>
                <w:sz w:val="12"/>
                <w:szCs w:val="12"/>
                <w:color w:val="auto"/>
              </w:rPr>
            </w:pPr>
          </w:p>
        </w:tc>
      </w:tr>
      <w:tr>
        <w:trPr>
          <w:trHeight w:val="175"/>
        </w:trPr>
        <w:tc>
          <w:tcPr>
            <w:tcW w:w="2360" w:type="dxa"/>
            <w:vAlign w:val="bottom"/>
          </w:tcPr>
          <w:p>
            <w:pPr>
              <w:spacing w:after="0" w:line="175" w:lineRule="exact"/>
              <w:rPr>
                <w:sz w:val="20"/>
                <w:szCs w:val="20"/>
                <w:color w:val="auto"/>
              </w:rPr>
            </w:pPr>
            <w:r>
              <w:rPr>
                <w:rFonts w:ascii="Arial" w:cs="Arial" w:eastAsia="Arial" w:hAnsi="Arial"/>
                <w:sz w:val="12"/>
                <w:szCs w:val="12"/>
                <w:color w:val="auto"/>
              </w:rPr>
              <w:t xml:space="preserve">Equity Awards </w:t>
            </w:r>
            <w:r>
              <w:rPr>
                <w:rFonts w:ascii="Arial" w:cs="Arial" w:eastAsia="Arial" w:hAnsi="Arial"/>
                <w:sz w:val="20"/>
                <w:szCs w:val="20"/>
                <w:color w:val="auto"/>
                <w:vertAlign w:val="superscript"/>
              </w:rPr>
              <w:t>(2)</w:t>
            </w:r>
          </w:p>
        </w:tc>
        <w:tc>
          <w:tcPr>
            <w:tcW w:w="36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5,701,209</w:t>
            </w:r>
          </w:p>
        </w:tc>
        <w:tc>
          <w:tcPr>
            <w:tcW w:w="90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1,166,955</w:t>
            </w:r>
          </w:p>
        </w:tc>
        <w:tc>
          <w:tcPr>
            <w:tcW w:w="900" w:type="dxa"/>
            <w:vAlign w:val="bottom"/>
            <w:tcBorders>
              <w:right w:val="single" w:sz="8" w:color="auto"/>
            </w:tcBorders>
          </w:tcPr>
          <w:p>
            <w:pPr>
              <w:jc w:val="right"/>
              <w:ind w:right="137"/>
              <w:spacing w:after="0"/>
              <w:rPr>
                <w:sz w:val="20"/>
                <w:szCs w:val="20"/>
                <w:color w:val="auto"/>
              </w:rPr>
            </w:pPr>
            <w:r>
              <w:rPr>
                <w:rFonts w:ascii="Arial" w:cs="Arial" w:eastAsia="Arial" w:hAnsi="Arial"/>
                <w:sz w:val="13"/>
                <w:szCs w:val="13"/>
                <w:color w:val="auto"/>
              </w:rPr>
              <w:t>1,693,173</w:t>
            </w:r>
          </w:p>
        </w:tc>
        <w:tc>
          <w:tcPr>
            <w:tcW w:w="740" w:type="dxa"/>
            <w:vAlign w:val="bottom"/>
          </w:tcPr>
          <w:p>
            <w:pPr>
              <w:jc w:val="right"/>
              <w:spacing w:after="0"/>
              <w:rPr>
                <w:sz w:val="20"/>
                <w:szCs w:val="20"/>
                <w:color w:val="auto"/>
              </w:rPr>
            </w:pPr>
            <w:r>
              <w:rPr>
                <w:rFonts w:ascii="Arial" w:cs="Arial" w:eastAsia="Arial" w:hAnsi="Arial"/>
                <w:sz w:val="13"/>
                <w:szCs w:val="13"/>
                <w:color w:val="auto"/>
              </w:rPr>
              <w:t>1,179,065</w:t>
            </w:r>
          </w:p>
        </w:tc>
        <w:tc>
          <w:tcPr>
            <w:tcW w:w="1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right"/>
              <w:ind w:right="117"/>
              <w:spacing w:after="0"/>
              <w:rPr>
                <w:sz w:val="20"/>
                <w:szCs w:val="20"/>
                <w:color w:val="auto"/>
              </w:rPr>
            </w:pPr>
            <w:r>
              <w:rPr>
                <w:rFonts w:ascii="Arial" w:cs="Arial" w:eastAsia="Arial" w:hAnsi="Arial"/>
                <w:sz w:val="13"/>
                <w:szCs w:val="13"/>
                <w:color w:val="auto"/>
              </w:rPr>
              <w:t>1,399,048</w:t>
            </w:r>
          </w:p>
        </w:tc>
        <w:tc>
          <w:tcPr>
            <w:tcW w:w="720" w:type="dxa"/>
            <w:vAlign w:val="bottom"/>
          </w:tcPr>
          <w:p>
            <w:pPr>
              <w:jc w:val="right"/>
              <w:spacing w:after="0"/>
              <w:rPr>
                <w:sz w:val="20"/>
                <w:szCs w:val="20"/>
                <w:color w:val="auto"/>
              </w:rPr>
            </w:pPr>
            <w:r>
              <w:rPr>
                <w:rFonts w:ascii="Arial" w:cs="Arial" w:eastAsia="Arial" w:hAnsi="Arial"/>
                <w:sz w:val="13"/>
                <w:szCs w:val="13"/>
                <w:color w:val="auto"/>
              </w:rPr>
              <w:t>1,106,585</w:t>
            </w:r>
          </w:p>
        </w:tc>
        <w:tc>
          <w:tcPr>
            <w:tcW w:w="120" w:type="dxa"/>
            <w:vAlign w:val="bottom"/>
          </w:tcPr>
          <w:p>
            <w:pPr>
              <w:spacing w:after="0"/>
              <w:rPr>
                <w:sz w:val="15"/>
                <w:szCs w:val="15"/>
                <w:color w:val="auto"/>
              </w:rPr>
            </w:pPr>
          </w:p>
        </w:tc>
      </w:tr>
      <w:tr>
        <w:trPr>
          <w:trHeight w:val="173"/>
        </w:trPr>
        <w:tc>
          <w:tcPr>
            <w:tcW w:w="2360" w:type="dxa"/>
            <w:vAlign w:val="bottom"/>
            <w:tcBorders>
              <w:bottom w:val="single" w:sz="8" w:color="auto"/>
            </w:tcBorders>
          </w:tcPr>
          <w:p>
            <w:pPr>
              <w:spacing w:after="0" w:line="173" w:lineRule="exact"/>
              <w:rPr>
                <w:sz w:val="20"/>
                <w:szCs w:val="20"/>
                <w:color w:val="auto"/>
              </w:rPr>
            </w:pPr>
            <w:r>
              <w:rPr>
                <w:rFonts w:ascii="Arial" w:cs="Arial" w:eastAsia="Arial" w:hAnsi="Arial"/>
                <w:sz w:val="12"/>
                <w:szCs w:val="12"/>
                <w:color w:val="auto"/>
              </w:rPr>
              <w:t xml:space="preserve">Other Compensation </w:t>
            </w:r>
            <w:r>
              <w:rPr>
                <w:rFonts w:ascii="Arial" w:cs="Arial" w:eastAsia="Arial" w:hAnsi="Arial"/>
                <w:sz w:val="20"/>
                <w:szCs w:val="20"/>
                <w:color w:val="auto"/>
                <w:vertAlign w:val="superscript"/>
              </w:rPr>
              <w:t>(3)</w:t>
            </w:r>
          </w:p>
        </w:tc>
        <w:tc>
          <w:tcPr>
            <w:tcW w:w="36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31,041</w:t>
            </w:r>
          </w:p>
        </w:tc>
        <w:tc>
          <w:tcPr>
            <w:tcW w:w="9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133,970</w:t>
            </w:r>
          </w:p>
        </w:tc>
        <w:tc>
          <w:tcPr>
            <w:tcW w:w="90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20,132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9,054</w:t>
            </w:r>
          </w:p>
        </w:tc>
        <w:tc>
          <w:tcPr>
            <w:tcW w:w="1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3"/>
                <w:szCs w:val="13"/>
                <w:color w:val="auto"/>
              </w:rPr>
              <w:t>43,029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9,054</w:t>
            </w:r>
          </w:p>
        </w:tc>
        <w:tc>
          <w:tcPr>
            <w:tcW w:w="120" w:type="dxa"/>
            <w:vAlign w:val="bottom"/>
          </w:tcPr>
          <w:p>
            <w:pPr>
              <w:spacing w:after="0"/>
              <w:rPr>
                <w:sz w:val="15"/>
                <w:szCs w:val="15"/>
                <w:color w:val="auto"/>
              </w:rPr>
            </w:pPr>
          </w:p>
        </w:tc>
      </w:tr>
      <w:tr>
        <w:trPr>
          <w:trHeight w:val="158"/>
        </w:trPr>
        <w:tc>
          <w:tcPr>
            <w:tcW w:w="236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3620" w:type="dxa"/>
            <w:vAlign w:val="bottom"/>
          </w:tcPr>
          <w:p>
            <w:pPr>
              <w:spacing w:after="0"/>
              <w:rPr>
                <w:sz w:val="13"/>
                <w:szCs w:val="13"/>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b w:val="1"/>
                <w:bCs w:val="1"/>
                <w:color w:val="auto"/>
              </w:rPr>
              <w:t>$7,141,267</w:t>
            </w:r>
          </w:p>
        </w:tc>
        <w:tc>
          <w:tcPr>
            <w:tcW w:w="900" w:type="dxa"/>
            <w:vAlign w:val="bottom"/>
          </w:tcPr>
          <w:p>
            <w:pPr>
              <w:jc w:val="right"/>
              <w:ind w:right="117"/>
              <w:spacing w:after="0"/>
              <w:rPr>
                <w:sz w:val="20"/>
                <w:szCs w:val="20"/>
                <w:color w:val="auto"/>
              </w:rPr>
            </w:pPr>
            <w:r>
              <w:rPr>
                <w:rFonts w:ascii="Arial" w:cs="Arial" w:eastAsia="Arial" w:hAnsi="Arial"/>
                <w:sz w:val="13"/>
                <w:szCs w:val="13"/>
                <w:b w:val="1"/>
                <w:bCs w:val="1"/>
                <w:color w:val="auto"/>
              </w:rPr>
              <w:t>$1,928,305</w:t>
            </w:r>
          </w:p>
        </w:tc>
        <w:tc>
          <w:tcPr>
            <w:tcW w:w="900" w:type="dxa"/>
            <w:vAlign w:val="bottom"/>
          </w:tcPr>
          <w:p>
            <w:pPr>
              <w:jc w:val="right"/>
              <w:ind w:right="137"/>
              <w:spacing w:after="0"/>
              <w:rPr>
                <w:sz w:val="20"/>
                <w:szCs w:val="20"/>
                <w:color w:val="auto"/>
              </w:rPr>
            </w:pPr>
            <w:r>
              <w:rPr>
                <w:rFonts w:ascii="Arial" w:cs="Arial" w:eastAsia="Arial" w:hAnsi="Arial"/>
                <w:sz w:val="13"/>
                <w:szCs w:val="13"/>
                <w:b w:val="1"/>
                <w:bCs w:val="1"/>
                <w:color w:val="auto"/>
              </w:rPr>
              <w:t>$2,214,447</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$1,845,875</w:t>
            </w:r>
          </w:p>
        </w:tc>
        <w:tc>
          <w:tcPr>
            <w:tcW w:w="140" w:type="dxa"/>
            <w:vAlign w:val="bottom"/>
          </w:tcPr>
          <w:p>
            <w:pPr>
              <w:spacing w:after="0"/>
              <w:rPr>
                <w:sz w:val="13"/>
                <w:szCs w:val="13"/>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b w:val="1"/>
                <w:bCs w:val="1"/>
                <w:color w:val="auto"/>
              </w:rPr>
              <w:t>$1,840,463</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$1,736,853</w:t>
            </w:r>
          </w:p>
        </w:tc>
        <w:tc>
          <w:tcPr>
            <w:tcW w:w="120" w:type="dxa"/>
            <w:vAlign w:val="bottom"/>
          </w:tcPr>
          <w:p>
            <w:pPr>
              <w:spacing w:after="0"/>
              <w:rPr>
                <w:sz w:val="13"/>
                <w:szCs w:val="13"/>
                <w:color w:val="auto"/>
              </w:rPr>
            </w:pPr>
          </w:p>
        </w:tc>
      </w:tr>
    </w:tbl>
    <w:p>
      <w:pPr>
        <w:spacing w:after="0" w:line="137" w:lineRule="exact"/>
        <w:rPr>
          <w:sz w:val="20"/>
          <w:szCs w:val="20"/>
          <w:color w:val="auto"/>
        </w:rPr>
      </w:pPr>
    </w:p>
    <w:p>
      <w:pPr>
        <w:ind w:left="2" w:right="120" w:hanging="2"/>
        <w:spacing w:after="0" w:line="262" w:lineRule="auto"/>
        <w:tabs>
          <w:tab w:leader="none" w:pos="158" w:val="left"/>
        </w:tabs>
        <w:numPr>
          <w:ilvl w:val="0"/>
          <w:numId w:val="11"/>
        </w:numPr>
        <w:rPr>
          <w:rFonts w:ascii="Arial" w:cs="Arial" w:eastAsia="Arial" w:hAnsi="Arial"/>
          <w:sz w:val="10"/>
          <w:szCs w:val="10"/>
          <w:color w:val="auto"/>
        </w:rPr>
      </w:pPr>
      <w:r>
        <w:rPr>
          <w:rFonts w:ascii="Arial" w:cs="Arial" w:eastAsia="Arial" w:hAnsi="Arial"/>
          <w:sz w:val="10"/>
          <w:szCs w:val="10"/>
          <w:color w:val="auto"/>
        </w:rPr>
        <w:t>As described in greater detail in the Compensation Discussion and Analysis below beginning on page 61, our named executive officers agreed to a reduction in base salary for four months during fiscal year 2020 in light negative effects of the COVID-19 pandemic.</w:t>
      </w:r>
    </w:p>
    <w:p>
      <w:pPr>
        <w:spacing w:after="0" w:line="137" w:lineRule="exact"/>
        <w:rPr>
          <w:rFonts w:ascii="Arial" w:cs="Arial" w:eastAsia="Arial" w:hAnsi="Arial"/>
          <w:sz w:val="10"/>
          <w:szCs w:val="10"/>
          <w:color w:val="auto"/>
        </w:rPr>
      </w:pPr>
    </w:p>
    <w:p>
      <w:pPr>
        <w:ind w:left="2" w:right="20" w:hanging="2"/>
        <w:spacing w:after="0" w:line="262" w:lineRule="auto"/>
        <w:tabs>
          <w:tab w:leader="none" w:pos="158" w:val="left"/>
        </w:tabs>
        <w:numPr>
          <w:ilvl w:val="0"/>
          <w:numId w:val="11"/>
        </w:numPr>
        <w:rPr>
          <w:rFonts w:ascii="Arial" w:cs="Arial" w:eastAsia="Arial" w:hAnsi="Arial"/>
          <w:sz w:val="10"/>
          <w:szCs w:val="10"/>
          <w:color w:val="auto"/>
        </w:rPr>
      </w:pPr>
      <w:r>
        <w:rPr>
          <w:rFonts w:ascii="Arial" w:cs="Arial" w:eastAsia="Arial" w:hAnsi="Arial"/>
          <w:sz w:val="10"/>
          <w:szCs w:val="10"/>
          <w:color w:val="auto"/>
        </w:rPr>
        <w:t>Equity award values reflect equity grants in 2020 with time-based and revenue linked performance-based restricted stock units valued based on grant date fair market value and TSR linked performance-based restricted stock units valued using a Monte Carlo fair market valuation.</w:t>
      </w:r>
    </w:p>
    <w:p>
      <w:pPr>
        <w:spacing w:after="0" w:line="137" w:lineRule="exact"/>
        <w:rPr>
          <w:rFonts w:ascii="Arial" w:cs="Arial" w:eastAsia="Arial" w:hAnsi="Arial"/>
          <w:sz w:val="10"/>
          <w:szCs w:val="10"/>
          <w:color w:val="auto"/>
        </w:rPr>
      </w:pPr>
    </w:p>
    <w:p>
      <w:pPr>
        <w:ind w:left="2" w:right="260" w:hanging="2"/>
        <w:spacing w:after="0" w:line="262" w:lineRule="auto"/>
        <w:tabs>
          <w:tab w:leader="none" w:pos="158" w:val="left"/>
        </w:tabs>
        <w:numPr>
          <w:ilvl w:val="0"/>
          <w:numId w:val="11"/>
        </w:numPr>
        <w:rPr>
          <w:rFonts w:ascii="Arial" w:cs="Arial" w:eastAsia="Arial" w:hAnsi="Arial"/>
          <w:sz w:val="10"/>
          <w:szCs w:val="10"/>
          <w:color w:val="auto"/>
        </w:rPr>
      </w:pPr>
      <w:r>
        <w:rPr>
          <w:rFonts w:ascii="Arial" w:cs="Arial" w:eastAsia="Arial" w:hAnsi="Arial"/>
          <w:sz w:val="10"/>
          <w:szCs w:val="10"/>
          <w:color w:val="auto"/>
        </w:rPr>
        <w:t>For each named executive officer, this category includes, if applicable, his perquisites and personal benefits, hiring bonus, changes in pension value, Company-paid life insurance premiums and Company contributions to our 401(k) plan. A detailed discussion of the compensation components for each named executive officer for fiscal year 2020 is provided in the "Summary Compensation Table for Fiscal Year 2020" beginning on page 86.</w:t>
      </w:r>
    </w:p>
    <w:p>
      <w:pPr>
        <w:spacing w:after="0" w:line="137" w:lineRule="exact"/>
        <w:rPr>
          <w:rFonts w:ascii="Arial" w:cs="Arial" w:eastAsia="Arial" w:hAnsi="Arial"/>
          <w:sz w:val="10"/>
          <w:szCs w:val="10"/>
          <w:color w:val="auto"/>
        </w:rPr>
      </w:pPr>
    </w:p>
    <w:p>
      <w:pPr>
        <w:ind w:left="2" w:right="240" w:hanging="2"/>
        <w:spacing w:after="0" w:line="262" w:lineRule="auto"/>
        <w:tabs>
          <w:tab w:leader="none" w:pos="158" w:val="left"/>
        </w:tabs>
        <w:numPr>
          <w:ilvl w:val="0"/>
          <w:numId w:val="11"/>
        </w:numPr>
        <w:rPr>
          <w:rFonts w:ascii="Arial" w:cs="Arial" w:eastAsia="Arial" w:hAnsi="Arial"/>
          <w:sz w:val="10"/>
          <w:szCs w:val="10"/>
          <w:color w:val="auto"/>
        </w:rPr>
      </w:pPr>
      <w:r>
        <w:rPr>
          <w:rFonts w:ascii="Arial" w:cs="Arial" w:eastAsia="Arial" w:hAnsi="Arial"/>
          <w:sz w:val="10"/>
          <w:szCs w:val="10"/>
          <w:color w:val="auto"/>
        </w:rPr>
        <w:t>Messrs. Bagai and Bhalla are each based in Delhi, India. Certain of their compensation components, as described herein, are paid in Indian rupees (INR), and are converted for comparison purposes at 73.065 INR to 1 USD, which was the exchange rate on December 31, 2020.</w:t>
      </w:r>
    </w:p>
    <w:p>
      <w:pPr>
        <w:spacing w:after="0" w:line="137" w:lineRule="exact"/>
        <w:rPr>
          <w:sz w:val="20"/>
          <w:szCs w:val="20"/>
          <w:color w:val="auto"/>
        </w:rPr>
      </w:pPr>
    </w:p>
    <w:p>
      <w:pPr>
        <w:ind w:left="2" w:right="140"/>
        <w:spacing w:after="0" w:line="239" w:lineRule="auto"/>
        <w:rPr>
          <w:sz w:val="20"/>
          <w:szCs w:val="20"/>
          <w:color w:val="auto"/>
        </w:rPr>
      </w:pPr>
      <w:r>
        <w:rPr>
          <w:rFonts w:ascii="Arial" w:cs="Arial" w:eastAsia="Arial" w:hAnsi="Arial"/>
          <w:sz w:val="13"/>
          <w:szCs w:val="13"/>
          <w:color w:val="auto"/>
        </w:rPr>
        <w:t>On an annual basis, we submit to our stockholders a vote to approve, on a non-binding advisory basis, the compensation of our named executive officers as described in this proxy statement. We refer to this vote as "say-on-pay". Please refer to our Compensation Discussion and Analysis, beginning on page 61 for a complete description of our 2020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5762625</wp:posOffset>
            </wp:positionH>
            <wp:positionV relativeFrom="paragraph">
              <wp:posOffset>192405</wp:posOffset>
            </wp:positionV>
            <wp:extent cx="1408430" cy="333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862"/>
        <w:spacing w:after="0"/>
        <w:rPr>
          <w:sz w:val="20"/>
          <w:szCs w:val="20"/>
          <w:color w:val="auto"/>
        </w:rPr>
      </w:pPr>
      <w:r>
        <w:rPr>
          <w:rFonts w:ascii="Arial" w:cs="Arial" w:eastAsia="Arial" w:hAnsi="Arial"/>
          <w:sz w:val="13"/>
          <w:szCs w:val="13"/>
          <w:color w:val="FFFFFE"/>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17740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2"/>
          </w:cols>
          <w:pgMar w:left="298" w:top="142" w:right="29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2021 PROXY STATEMENT SUMMARY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Below are a few highlights of our executive compensation:</w:t>
      </w:r>
    </w:p>
    <w:p>
      <w:pPr>
        <w:spacing w:after="0" w:line="136" w:lineRule="exact"/>
        <w:rPr>
          <w:sz w:val="20"/>
          <w:szCs w:val="20"/>
          <w:color w:val="auto"/>
        </w:rPr>
      </w:pPr>
    </w:p>
    <w:p>
      <w:pPr>
        <w:ind w:left="780" w:hanging="393"/>
        <w:spacing w:after="0"/>
        <w:tabs>
          <w:tab w:leader="none" w:pos="780" w:val="left"/>
        </w:tabs>
        <w:numPr>
          <w:ilvl w:val="0"/>
          <w:numId w:val="12"/>
        </w:numPr>
        <w:rPr>
          <w:rFonts w:ascii="Arial" w:cs="Arial" w:eastAsia="Arial" w:hAnsi="Arial"/>
          <w:sz w:val="13"/>
          <w:szCs w:val="13"/>
          <w:color w:val="FF4000"/>
        </w:rPr>
      </w:pPr>
      <w:r>
        <w:rPr>
          <w:rFonts w:ascii="Arial" w:cs="Arial" w:eastAsia="Arial" w:hAnsi="Arial"/>
          <w:sz w:val="13"/>
          <w:szCs w:val="13"/>
          <w:b w:val="1"/>
          <w:bCs w:val="1"/>
          <w:color w:val="auto"/>
        </w:rPr>
        <w:t xml:space="preserve">Compensation Philosophy: </w:t>
      </w:r>
      <w:r>
        <w:rPr>
          <w:rFonts w:ascii="Arial" w:cs="Arial" w:eastAsia="Arial" w:hAnsi="Arial"/>
          <w:sz w:val="13"/>
          <w:szCs w:val="13"/>
          <w:color w:val="auto"/>
        </w:rPr>
        <w:t>Our executive compensation philosophy is focused on pay-for-performance and is designed to reflect appropriate governance practices aligned with the</w:t>
      </w:r>
    </w:p>
    <w:p>
      <w:pPr>
        <w:spacing w:after="0" w:line="12" w:lineRule="exact"/>
        <w:rPr>
          <w:rFonts w:ascii="Arial" w:cs="Arial" w:eastAsia="Arial" w:hAnsi="Arial"/>
          <w:sz w:val="13"/>
          <w:szCs w:val="13"/>
          <w:color w:val="FF4000"/>
        </w:rPr>
      </w:pPr>
    </w:p>
    <w:p>
      <w:pPr>
        <w:ind w:left="780" w:right="500"/>
        <w:spacing w:after="0" w:line="278" w:lineRule="auto"/>
        <w:rPr>
          <w:rFonts w:ascii="Arial" w:cs="Arial" w:eastAsia="Arial" w:hAnsi="Arial"/>
          <w:sz w:val="13"/>
          <w:szCs w:val="13"/>
          <w:color w:val="FF4000"/>
        </w:rPr>
      </w:pPr>
      <w:r>
        <w:rPr>
          <w:rFonts w:ascii="Arial" w:cs="Arial" w:eastAsia="Arial" w:hAnsi="Arial"/>
          <w:sz w:val="12"/>
          <w:szCs w:val="12"/>
          <w:color w:val="auto"/>
        </w:rPr>
        <w:t>needs of our business, and includes, among others, the following features: clawback policy; robust stock ownership guidelines for executives (and non-employee directors); limited perquisites; no tax gross-ups; and an anti-hedging and anti-pledging policy. See "Executive Compensation Program, Practices and Policies" beginning on page 67 below.</w:t>
      </w:r>
    </w:p>
    <w:p>
      <w:pPr>
        <w:spacing w:after="0" w:line="111" w:lineRule="exact"/>
        <w:rPr>
          <w:rFonts w:ascii="Arial" w:cs="Arial" w:eastAsia="Arial" w:hAnsi="Arial"/>
          <w:sz w:val="13"/>
          <w:szCs w:val="13"/>
          <w:color w:val="FF4000"/>
        </w:rPr>
      </w:pPr>
    </w:p>
    <w:p>
      <w:pPr>
        <w:ind w:left="780" w:right="60" w:hanging="393"/>
        <w:spacing w:after="0" w:line="249" w:lineRule="auto"/>
        <w:tabs>
          <w:tab w:leader="none" w:pos="780" w:val="left"/>
        </w:tabs>
        <w:numPr>
          <w:ilvl w:val="0"/>
          <w:numId w:val="12"/>
        </w:numPr>
        <w:rPr>
          <w:rFonts w:ascii="Arial" w:cs="Arial" w:eastAsia="Arial" w:hAnsi="Arial"/>
          <w:sz w:val="13"/>
          <w:szCs w:val="13"/>
          <w:color w:val="FF4000"/>
        </w:rPr>
      </w:pPr>
      <w:r>
        <w:rPr>
          <w:rFonts w:ascii="Arial" w:cs="Arial" w:eastAsia="Arial" w:hAnsi="Arial"/>
          <w:sz w:val="13"/>
          <w:szCs w:val="13"/>
          <w:b w:val="1"/>
          <w:bCs w:val="1"/>
          <w:color w:val="auto"/>
        </w:rPr>
        <w:t xml:space="preserve">98% Say-on-Pay Approval of 2019 Compensation: </w:t>
      </w:r>
      <w:r>
        <w:rPr>
          <w:rFonts w:ascii="Arial" w:cs="Arial" w:eastAsia="Arial" w:hAnsi="Arial"/>
          <w:sz w:val="13"/>
          <w:szCs w:val="13"/>
          <w:color w:val="auto"/>
        </w:rPr>
        <w:t>At our 2020 Annual Meeting of Stockholders, our stockholders approved, on a non-binding advisory basis, the compensation paid to</w:t>
      </w:r>
      <w:r>
        <w:rPr>
          <w:rFonts w:ascii="Arial" w:cs="Arial" w:eastAsia="Arial" w:hAnsi="Arial"/>
          <w:sz w:val="13"/>
          <w:szCs w:val="13"/>
          <w:b w:val="1"/>
          <w:bCs w:val="1"/>
          <w:color w:val="auto"/>
        </w:rPr>
        <w:t xml:space="preserve"> </w:t>
      </w:r>
      <w:r>
        <w:rPr>
          <w:rFonts w:ascii="Arial" w:cs="Arial" w:eastAsia="Arial" w:hAnsi="Arial"/>
          <w:sz w:val="13"/>
          <w:szCs w:val="13"/>
          <w:color w:val="auto"/>
        </w:rPr>
        <w:t>our named executive officers for fiscal year 2019. Approximately 98% of the votes present in person or by proxy (excluding broker non-votes) voted in favor of fiscal year 2019 compensation.</w:t>
      </w:r>
    </w:p>
    <w:p>
      <w:pPr>
        <w:spacing w:after="0" w:line="118" w:lineRule="exact"/>
        <w:rPr>
          <w:rFonts w:ascii="Arial" w:cs="Arial" w:eastAsia="Arial" w:hAnsi="Arial"/>
          <w:sz w:val="13"/>
          <w:szCs w:val="13"/>
          <w:color w:val="FF4000"/>
        </w:rPr>
      </w:pPr>
    </w:p>
    <w:p>
      <w:pPr>
        <w:ind w:left="780" w:hanging="393"/>
        <w:spacing w:after="0" w:line="264" w:lineRule="auto"/>
        <w:tabs>
          <w:tab w:leader="none" w:pos="780" w:val="left"/>
        </w:tabs>
        <w:numPr>
          <w:ilvl w:val="0"/>
          <w:numId w:val="12"/>
        </w:numPr>
        <w:rPr>
          <w:rFonts w:ascii="Arial" w:cs="Arial" w:eastAsia="Arial" w:hAnsi="Arial"/>
          <w:sz w:val="13"/>
          <w:szCs w:val="13"/>
          <w:color w:val="FF4000"/>
        </w:rPr>
      </w:pPr>
      <w:r>
        <w:rPr>
          <w:rFonts w:ascii="Arial" w:cs="Arial" w:eastAsia="Arial" w:hAnsi="Arial"/>
          <w:sz w:val="13"/>
          <w:szCs w:val="13"/>
          <w:b w:val="1"/>
          <w:bCs w:val="1"/>
          <w:color w:val="auto"/>
        </w:rPr>
        <w:t xml:space="preserve">Annual Bonus Program Based Upon Financial Performance Criteria: </w:t>
      </w:r>
      <w:r>
        <w:rPr>
          <w:rFonts w:ascii="Arial" w:cs="Arial" w:eastAsia="Arial" w:hAnsi="Arial"/>
          <w:sz w:val="13"/>
          <w:szCs w:val="13"/>
          <w:color w:val="auto"/>
        </w:rPr>
        <w:t>Our Compensation Committee approved the continued use of our annual bonus program, which was based upon</w:t>
      </w:r>
      <w:r>
        <w:rPr>
          <w:rFonts w:ascii="Arial" w:cs="Arial" w:eastAsia="Arial" w:hAnsi="Arial"/>
          <w:sz w:val="13"/>
          <w:szCs w:val="13"/>
          <w:b w:val="1"/>
          <w:bCs w:val="1"/>
          <w:color w:val="auto"/>
        </w:rPr>
        <w:t xml:space="preserve"> </w:t>
      </w:r>
      <w:r>
        <w:rPr>
          <w:rFonts w:ascii="Arial" w:cs="Arial" w:eastAsia="Arial" w:hAnsi="Arial"/>
          <w:sz w:val="13"/>
          <w:szCs w:val="13"/>
          <w:color w:val="auto"/>
        </w:rPr>
        <w:t>the following performance criteria:</w:t>
      </w:r>
    </w:p>
    <w:p>
      <w:pPr>
        <w:spacing w:after="0" w:line="280" w:lineRule="exact"/>
        <w:rPr>
          <w:rFonts w:ascii="Arial" w:cs="Arial" w:eastAsia="Arial" w:hAnsi="Arial"/>
          <w:sz w:val="13"/>
          <w:szCs w:val="13"/>
          <w:color w:val="FF4000"/>
        </w:rPr>
      </w:pPr>
    </w:p>
    <w:p>
      <w:pPr>
        <w:ind w:left="780"/>
        <w:spacing w:after="0"/>
        <w:rPr>
          <w:rFonts w:ascii="Arial" w:cs="Arial" w:eastAsia="Arial" w:hAnsi="Arial"/>
          <w:sz w:val="13"/>
          <w:szCs w:val="13"/>
          <w:color w:val="FF4000"/>
        </w:rPr>
      </w:pPr>
      <w:r>
        <w:rPr>
          <w:rFonts w:ascii="Arial" w:cs="Arial" w:eastAsia="Arial" w:hAnsi="Arial"/>
          <w:sz w:val="13"/>
          <w:szCs w:val="13"/>
          <w:color w:val="FF4000"/>
        </w:rPr>
        <w:t>–</w:t>
      </w:r>
      <w:r>
        <w:rPr>
          <w:rFonts w:ascii="Arial" w:cs="Arial" w:eastAsia="Arial" w:hAnsi="Arial"/>
          <w:sz w:val="12"/>
          <w:szCs w:val="12"/>
          <w:color w:val="auto"/>
        </w:rPr>
        <w:t>Company Wide Metrics — Adjusted earnings per share ("EPS"), revenue, and adjusted operating profit margin ("AOPM")</w:t>
      </w:r>
    </w:p>
    <w:p>
      <w:pPr>
        <w:spacing w:after="0" w:line="142" w:lineRule="exact"/>
        <w:rPr>
          <w:rFonts w:ascii="Arial" w:cs="Arial" w:eastAsia="Arial" w:hAnsi="Arial"/>
          <w:sz w:val="13"/>
          <w:szCs w:val="13"/>
          <w:color w:val="FF4000"/>
        </w:rPr>
      </w:pPr>
    </w:p>
    <w:p>
      <w:pPr>
        <w:ind w:left="780"/>
        <w:spacing w:after="0"/>
        <w:rPr>
          <w:rFonts w:ascii="Arial" w:cs="Arial" w:eastAsia="Arial" w:hAnsi="Arial"/>
          <w:sz w:val="13"/>
          <w:szCs w:val="13"/>
          <w:color w:val="FF4000"/>
        </w:rPr>
      </w:pPr>
      <w:r>
        <w:rPr>
          <w:rFonts w:ascii="Arial" w:cs="Arial" w:eastAsia="Arial" w:hAnsi="Arial"/>
          <w:sz w:val="13"/>
          <w:szCs w:val="13"/>
          <w:color w:val="FF4000"/>
        </w:rPr>
        <w:t>–</w:t>
      </w:r>
      <w:r>
        <w:rPr>
          <w:rFonts w:ascii="Arial" w:cs="Arial" w:eastAsia="Arial" w:hAnsi="Arial"/>
          <w:sz w:val="12"/>
          <w:szCs w:val="12"/>
          <w:color w:val="auto"/>
        </w:rPr>
        <w:t>Business Line Metrics — Revenue, Adjusted EPS, Business Operating Income (BOI), and AOPM</w:t>
      </w:r>
    </w:p>
    <w:p>
      <w:pPr>
        <w:spacing w:after="0" w:line="152" w:lineRule="exact"/>
        <w:rPr>
          <w:rFonts w:ascii="Arial" w:cs="Arial" w:eastAsia="Arial" w:hAnsi="Arial"/>
          <w:sz w:val="13"/>
          <w:szCs w:val="13"/>
          <w:color w:val="FF4000"/>
        </w:rPr>
      </w:pPr>
    </w:p>
    <w:p>
      <w:pPr>
        <w:ind w:left="780"/>
        <w:spacing w:after="0"/>
        <w:rPr>
          <w:rFonts w:ascii="Arial" w:cs="Arial" w:eastAsia="Arial" w:hAnsi="Arial"/>
          <w:sz w:val="13"/>
          <w:szCs w:val="13"/>
          <w:color w:val="FF4000"/>
        </w:rPr>
      </w:pPr>
      <w:r>
        <w:rPr>
          <w:rFonts w:ascii="Arial" w:cs="Arial" w:eastAsia="Arial" w:hAnsi="Arial"/>
          <w:sz w:val="13"/>
          <w:szCs w:val="13"/>
          <w:color w:val="FF4000"/>
        </w:rPr>
        <w:t>–</w:t>
      </w:r>
      <w:r>
        <w:rPr>
          <w:rFonts w:ascii="Arial" w:cs="Arial" w:eastAsia="Arial" w:hAnsi="Arial"/>
          <w:sz w:val="12"/>
          <w:szCs w:val="12"/>
          <w:color w:val="auto"/>
        </w:rPr>
        <w:t>Individual Metrics — Linked to areas of performance that are specific to each executive</w:t>
      </w:r>
    </w:p>
    <w:p>
      <w:pPr>
        <w:spacing w:after="0" w:line="281" w:lineRule="exact"/>
        <w:rPr>
          <w:rFonts w:ascii="Arial" w:cs="Arial" w:eastAsia="Arial" w:hAnsi="Arial"/>
          <w:sz w:val="13"/>
          <w:szCs w:val="13"/>
          <w:color w:val="FF4000"/>
        </w:rPr>
      </w:pPr>
    </w:p>
    <w:p>
      <w:pPr>
        <w:ind w:left="780" w:right="140" w:hanging="393"/>
        <w:spacing w:after="0" w:line="264" w:lineRule="auto"/>
        <w:tabs>
          <w:tab w:leader="none" w:pos="780" w:val="left"/>
        </w:tabs>
        <w:numPr>
          <w:ilvl w:val="0"/>
          <w:numId w:val="12"/>
        </w:numPr>
        <w:rPr>
          <w:rFonts w:ascii="Arial" w:cs="Arial" w:eastAsia="Arial" w:hAnsi="Arial"/>
          <w:sz w:val="13"/>
          <w:szCs w:val="13"/>
          <w:color w:val="FF4000"/>
        </w:rPr>
      </w:pPr>
      <w:r>
        <w:rPr>
          <w:rFonts w:ascii="Arial" w:cs="Arial" w:eastAsia="Arial" w:hAnsi="Arial"/>
          <w:sz w:val="13"/>
          <w:szCs w:val="13"/>
          <w:b w:val="1"/>
          <w:bCs w:val="1"/>
          <w:color w:val="auto"/>
        </w:rPr>
        <w:t xml:space="preserve">Long-Term Equity Incentive Program: </w:t>
      </w:r>
      <w:r>
        <w:rPr>
          <w:rFonts w:ascii="Arial" w:cs="Arial" w:eastAsia="Arial" w:hAnsi="Arial"/>
          <w:sz w:val="13"/>
          <w:szCs w:val="13"/>
          <w:color w:val="auto"/>
        </w:rPr>
        <w:t>We also continued our equity incentive program, which includes granting a balanced mix of time-vested restricted stock units and performance-based restricted stock units. The performance-based restricted stock units were comprised of:</w:t>
      </w:r>
    </w:p>
    <w:p>
      <w:pPr>
        <w:spacing w:after="0" w:line="280" w:lineRule="exact"/>
        <w:rPr>
          <w:rFonts w:ascii="Arial" w:cs="Arial" w:eastAsia="Arial" w:hAnsi="Arial"/>
          <w:sz w:val="13"/>
          <w:szCs w:val="13"/>
          <w:color w:val="FF4000"/>
        </w:rPr>
      </w:pPr>
    </w:p>
    <w:p>
      <w:pPr>
        <w:ind w:left="780"/>
        <w:spacing w:after="0"/>
        <w:rPr>
          <w:rFonts w:ascii="Arial" w:cs="Arial" w:eastAsia="Arial" w:hAnsi="Arial"/>
          <w:sz w:val="13"/>
          <w:szCs w:val="13"/>
          <w:color w:val="FF4000"/>
        </w:rPr>
      </w:pPr>
      <w:r>
        <w:rPr>
          <w:rFonts w:ascii="Arial" w:cs="Arial" w:eastAsia="Arial" w:hAnsi="Arial"/>
          <w:sz w:val="13"/>
          <w:szCs w:val="13"/>
          <w:color w:val="FF4000"/>
        </w:rPr>
        <w:t>–</w:t>
      </w:r>
      <w:r>
        <w:rPr>
          <w:rFonts w:ascii="Arial" w:cs="Arial" w:eastAsia="Arial" w:hAnsi="Arial"/>
          <w:sz w:val="12"/>
          <w:szCs w:val="12"/>
          <w:color w:val="auto"/>
        </w:rPr>
        <w:t>Relative total stockholder return-linked restricted stock units, and</w:t>
      </w:r>
    </w:p>
    <w:p>
      <w:pPr>
        <w:spacing w:after="0" w:line="152" w:lineRule="exact"/>
        <w:rPr>
          <w:rFonts w:ascii="Arial" w:cs="Arial" w:eastAsia="Arial" w:hAnsi="Arial"/>
          <w:sz w:val="13"/>
          <w:szCs w:val="13"/>
          <w:color w:val="FF4000"/>
        </w:rPr>
      </w:pPr>
    </w:p>
    <w:p>
      <w:pPr>
        <w:ind w:left="780"/>
        <w:spacing w:after="0"/>
        <w:rPr>
          <w:rFonts w:ascii="Arial" w:cs="Arial" w:eastAsia="Arial" w:hAnsi="Arial"/>
          <w:sz w:val="13"/>
          <w:szCs w:val="13"/>
          <w:color w:val="FF4000"/>
        </w:rPr>
      </w:pPr>
      <w:r>
        <w:rPr>
          <w:rFonts w:ascii="Arial" w:cs="Arial" w:eastAsia="Arial" w:hAnsi="Arial"/>
          <w:sz w:val="13"/>
          <w:szCs w:val="13"/>
          <w:color w:val="FF4000"/>
        </w:rPr>
        <w:t>–</w:t>
      </w:r>
      <w:r>
        <w:rPr>
          <w:rFonts w:ascii="Arial" w:cs="Arial" w:eastAsia="Arial" w:hAnsi="Arial"/>
          <w:sz w:val="12"/>
          <w:szCs w:val="12"/>
          <w:color w:val="auto"/>
        </w:rPr>
        <w:t>Revenue-linked restricted stock units.</w:t>
      </w:r>
    </w:p>
    <w:p>
      <w:pPr>
        <w:spacing w:after="0" w:line="281" w:lineRule="exact"/>
        <w:rPr>
          <w:rFonts w:ascii="Arial" w:cs="Arial" w:eastAsia="Arial" w:hAnsi="Arial"/>
          <w:sz w:val="13"/>
          <w:szCs w:val="13"/>
          <w:color w:val="FF4000"/>
        </w:rPr>
      </w:pPr>
    </w:p>
    <w:p>
      <w:pPr>
        <w:ind w:left="780" w:hanging="393"/>
        <w:spacing w:after="0"/>
        <w:tabs>
          <w:tab w:leader="none" w:pos="780" w:val="left"/>
        </w:tabs>
        <w:numPr>
          <w:ilvl w:val="0"/>
          <w:numId w:val="12"/>
        </w:numPr>
        <w:rPr>
          <w:rFonts w:ascii="Arial" w:cs="Arial" w:eastAsia="Arial" w:hAnsi="Arial"/>
          <w:sz w:val="13"/>
          <w:szCs w:val="13"/>
          <w:color w:val="FF4000"/>
        </w:rPr>
      </w:pPr>
      <w:r>
        <w:rPr>
          <w:rFonts w:ascii="Arial" w:cs="Arial" w:eastAsia="Arial" w:hAnsi="Arial"/>
          <w:sz w:val="13"/>
          <w:szCs w:val="13"/>
          <w:b w:val="1"/>
          <w:bCs w:val="1"/>
          <w:color w:val="auto"/>
        </w:rPr>
        <w:t xml:space="preserve">2020 Performance: </w:t>
      </w:r>
      <w:r>
        <w:rPr>
          <w:rFonts w:ascii="Arial" w:cs="Arial" w:eastAsia="Arial" w:hAnsi="Arial"/>
          <w:sz w:val="13"/>
          <w:szCs w:val="13"/>
          <w:color w:val="auto"/>
        </w:rPr>
        <w:t>We delivered the following revenue, Adjusted EPS, and AOPM (as described below) performance:</w:t>
      </w:r>
    </w:p>
    <w:p>
      <w:pPr>
        <w:spacing w:after="0" w:line="307" w:lineRule="exact"/>
        <w:rPr>
          <w:rFonts w:ascii="Arial" w:cs="Arial" w:eastAsia="Arial" w:hAnsi="Arial"/>
          <w:sz w:val="13"/>
          <w:szCs w:val="13"/>
          <w:color w:val="FF4000"/>
        </w:rPr>
      </w:pPr>
    </w:p>
    <w:p>
      <w:pPr>
        <w:ind w:left="1160" w:right="80" w:hanging="389"/>
        <w:spacing w:after="0" w:line="266" w:lineRule="auto"/>
        <w:rPr>
          <w:rFonts w:ascii="Arial" w:cs="Arial" w:eastAsia="Arial" w:hAnsi="Arial"/>
          <w:sz w:val="13"/>
          <w:szCs w:val="13"/>
          <w:color w:val="FF4000"/>
        </w:rPr>
      </w:pPr>
      <w:r>
        <w:rPr>
          <w:rFonts w:ascii="Arial" w:cs="Arial" w:eastAsia="Arial" w:hAnsi="Arial"/>
          <w:sz w:val="13"/>
          <w:szCs w:val="13"/>
          <w:color w:val="FF4000"/>
        </w:rPr>
        <w:t>–</w:t>
      </w:r>
      <w:r>
        <w:rPr>
          <w:rFonts w:ascii="Arial" w:cs="Arial" w:eastAsia="Arial" w:hAnsi="Arial"/>
          <w:sz w:val="12"/>
          <w:szCs w:val="12"/>
          <w:b w:val="1"/>
          <w:bCs w:val="1"/>
          <w:color w:val="auto"/>
        </w:rPr>
        <w:t xml:space="preserve">Annual Incentive Program: </w:t>
      </w:r>
      <w:r>
        <w:rPr>
          <w:rFonts w:ascii="Arial" w:cs="Arial" w:eastAsia="Arial" w:hAnsi="Arial"/>
          <w:sz w:val="12"/>
          <w:szCs w:val="12"/>
          <w:color w:val="auto"/>
        </w:rPr>
        <w:t>As measured under our annual incentive plan, we delivered 99.20% of our Adjusted EPS target, 89.32% of our revenue performance target, and</w:t>
      </w:r>
      <w:r>
        <w:rPr>
          <w:rFonts w:ascii="Arial" w:cs="Arial" w:eastAsia="Arial" w:hAnsi="Arial"/>
          <w:sz w:val="12"/>
          <w:szCs w:val="12"/>
          <w:b w:val="1"/>
          <w:bCs w:val="1"/>
          <w:color w:val="auto"/>
        </w:rPr>
        <w:t xml:space="preserve"> </w:t>
      </w:r>
      <w:r>
        <w:rPr>
          <w:rFonts w:ascii="Arial" w:cs="Arial" w:eastAsia="Arial" w:hAnsi="Arial"/>
          <w:sz w:val="12"/>
          <w:szCs w:val="12"/>
          <w:color w:val="auto"/>
        </w:rPr>
        <w:t>95.26% of our AOPM target resulting in annual incentive payout calculations for our named executive officers, ranging from 50.36% of target performance to 94.69% of target performance. As discussed in greater detail in the Compensation Discussion and Analysis below, our Compensation Committee did not make adjustments to the performance targets that had previously been set, but rather reviewed Company, business unit, and individual performance and adjusted the payouts to 75% of target performance for all named executive officers after taking into account the unanticipated impact of the COVID-19 pandemic and the teamwork and extraordinary efforts of the named executive officers.</w:t>
      </w:r>
    </w:p>
    <w:p>
      <w:pPr>
        <w:spacing w:after="0" w:line="110" w:lineRule="exact"/>
        <w:rPr>
          <w:rFonts w:ascii="Arial" w:cs="Arial" w:eastAsia="Arial" w:hAnsi="Arial"/>
          <w:sz w:val="13"/>
          <w:szCs w:val="13"/>
          <w:color w:val="FF4000"/>
        </w:rPr>
      </w:pPr>
    </w:p>
    <w:p>
      <w:pPr>
        <w:ind w:left="1160" w:hanging="389"/>
        <w:spacing w:after="0" w:line="241" w:lineRule="auto"/>
        <w:rPr>
          <w:rFonts w:ascii="Arial" w:cs="Arial" w:eastAsia="Arial" w:hAnsi="Arial"/>
          <w:sz w:val="13"/>
          <w:szCs w:val="13"/>
          <w:color w:val="FF4000"/>
        </w:rPr>
      </w:pPr>
      <w:r>
        <w:rPr>
          <w:rFonts w:ascii="Arial" w:cs="Arial" w:eastAsia="Arial" w:hAnsi="Arial"/>
          <w:sz w:val="13"/>
          <w:szCs w:val="13"/>
          <w:color w:val="FF4000"/>
        </w:rPr>
        <w:t>–</w:t>
      </w:r>
      <w:r>
        <w:rPr>
          <w:rFonts w:ascii="Arial" w:cs="Arial" w:eastAsia="Arial" w:hAnsi="Arial"/>
          <w:sz w:val="13"/>
          <w:szCs w:val="13"/>
          <w:b w:val="1"/>
          <w:bCs w:val="1"/>
          <w:color w:val="auto"/>
        </w:rPr>
        <w:t xml:space="preserve">Equity Incentive Program: </w:t>
      </w:r>
      <w:r>
        <w:rPr>
          <w:rFonts w:ascii="Arial" w:cs="Arial" w:eastAsia="Arial" w:hAnsi="Arial"/>
          <w:sz w:val="13"/>
          <w:szCs w:val="13"/>
          <w:color w:val="auto"/>
        </w:rPr>
        <w:t>This was the third and final performance year for the 2018 performance-based restricted stock units. We achieved 99.89% of the revenue target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revenue-linked restricted stock units resulting in 100% of target funding of those grants. The Company's TSR performance was at the 46.51 percentile amongst its peer group, resulting in the executives earning 88.37% of the target funding of those grants. In the aggregate the 2018 performance-based restricted stock units resulted in the vesting of shares at 94.13% of target performance. No adjustments were made to the 2018 performance-based restricted stock units or the associated performance targets — or the outstanding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1408430" cy="3333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460"/>
        <w:spacing w:after="0"/>
        <w:rPr>
          <w:sz w:val="20"/>
          <w:szCs w:val="20"/>
          <w:color w:val="auto"/>
        </w:rPr>
      </w:pPr>
      <w:r>
        <w:rPr>
          <w:rFonts w:ascii="Arial" w:cs="Arial" w:eastAsia="Arial" w:hAnsi="Arial"/>
          <w:sz w:val="10"/>
          <w:szCs w:val="10"/>
          <w:b w:val="1"/>
          <w:bCs w:val="1"/>
          <w:color w:val="CCD9D9"/>
        </w:rPr>
        <w:t>2021 PROXY STATEMENT SUMMARY</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performance-based restricted stock units or associated performance targets — to account for the impact of the COVID-19 pandemic in the 2020 fiscal year.</w:t>
      </w:r>
    </w:p>
    <w:p>
      <w:pPr>
        <w:spacing w:after="0" w:line="136" w:lineRule="exact"/>
        <w:rPr>
          <w:sz w:val="20"/>
          <w:szCs w:val="20"/>
          <w:color w:val="auto"/>
        </w:rPr>
      </w:pPr>
    </w:p>
    <w:p>
      <w:pPr>
        <w:ind w:left="780" w:right="80" w:hanging="393"/>
        <w:spacing w:after="0" w:line="239" w:lineRule="auto"/>
        <w:tabs>
          <w:tab w:leader="none" w:pos="780" w:val="left"/>
        </w:tabs>
        <w:numPr>
          <w:ilvl w:val="0"/>
          <w:numId w:val="13"/>
        </w:numPr>
        <w:rPr>
          <w:rFonts w:ascii="Arial" w:cs="Arial" w:eastAsia="Arial" w:hAnsi="Arial"/>
          <w:sz w:val="13"/>
          <w:szCs w:val="13"/>
          <w:color w:val="FF4000"/>
        </w:rPr>
      </w:pPr>
      <w:r>
        <w:rPr>
          <w:rFonts w:ascii="Arial" w:cs="Arial" w:eastAsia="Arial" w:hAnsi="Arial"/>
          <w:sz w:val="13"/>
          <w:szCs w:val="13"/>
          <w:b w:val="1"/>
          <w:bCs w:val="1"/>
          <w:color w:val="auto"/>
        </w:rPr>
        <w:t xml:space="preserve">2020 COVID-19 Related Temporary Salary Deferrals and Reductions: </w:t>
      </w:r>
      <w:r>
        <w:rPr>
          <w:rFonts w:ascii="Arial" w:cs="Arial" w:eastAsia="Arial" w:hAnsi="Arial"/>
          <w:sz w:val="13"/>
          <w:szCs w:val="13"/>
          <w:color w:val="auto"/>
        </w:rPr>
        <w:t>Although the Compensation Committee approved modest increases to our named executive officers' base</w:t>
      </w:r>
      <w:r>
        <w:rPr>
          <w:rFonts w:ascii="Arial" w:cs="Arial" w:eastAsia="Arial" w:hAnsi="Arial"/>
          <w:sz w:val="13"/>
          <w:szCs w:val="13"/>
          <w:b w:val="1"/>
          <w:bCs w:val="1"/>
          <w:color w:val="auto"/>
        </w:rPr>
        <w:t xml:space="preserve"> </w:t>
      </w:r>
      <w:r>
        <w:rPr>
          <w:rFonts w:ascii="Arial" w:cs="Arial" w:eastAsia="Arial" w:hAnsi="Arial"/>
          <w:sz w:val="13"/>
          <w:szCs w:val="13"/>
          <w:color w:val="auto"/>
        </w:rPr>
        <w:t>salaries to be effective April 1, 2020, the named executive officers agreed to defer these increases due to the uncertainly caused by the COVID-19 pandemic. The increases, therefore, did not come into effect during the 2020 fiscal year. In addition, from May 1, 2020 to August 31, 2020, also due to the uncertainty caused by the COVID-19 pandemic and in order to retain flexibility, the Company's executive management team recommended to the Compensation Committee and the Compensation Committee accepted, salary reductions for the named executive officers. Accordingly, the base salary for the Company's Vice Chairman and Chief Executive Officer, Mr. Rohit Kapoor, was temporarily reduced by 50% and the base salary for the other named executive officers was temporarily reduced by 30%. Finally, as an extension of these cost saving actions, our non-employee directors also agreed to a reduction of 30% in their cash retainers, which was in effect from May 1, 2020 to August 31, 2020.</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105410</wp:posOffset>
            </wp:positionV>
            <wp:extent cx="5861050" cy="2853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1050" cy="285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OUR BOARD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OUR BOARD OF DIRECTORS</w:t>
      </w:r>
    </w:p>
    <w:p>
      <w:pPr>
        <w:spacing w:after="0" w:line="180"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Our board of directors currently consists of 11 directors (including our nine director nominees, and our two directors who are currently serving on the board, but will not stand for reelection) with diverse experience, including in human capital management, corporate sustainability, insurance, healthcare, utilities, consulting, banking and financial services, finance/accounting, global business and technology. The following tables include a summary of our board composition by age, gender, tenure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93980</wp:posOffset>
            </wp:positionV>
            <wp:extent cx="4761865" cy="1037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18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Historically, our board of directors was divided into three classes. Beginning with the Annual Meeting, however, all director nominees elected by our stockholders will be elected to hold office for a term of one year, or until their successors are duly elected and qualified in accordance with our by-laws, and the classification of the Board of Directors will terminate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840"/>
        <w:spacing w:after="0"/>
        <w:rPr>
          <w:sz w:val="20"/>
          <w:szCs w:val="20"/>
          <w:color w:val="auto"/>
        </w:rPr>
      </w:pPr>
      <w:r>
        <w:rPr>
          <w:rFonts w:ascii="Arial" w:cs="Arial" w:eastAsia="Arial" w:hAnsi="Arial"/>
          <w:sz w:val="10"/>
          <w:szCs w:val="10"/>
          <w:b w:val="1"/>
          <w:bCs w:val="1"/>
          <w:color w:val="CCD9D9"/>
        </w:rPr>
        <w:t>OUR BOARD OF DIRECTORS</w:t>
      </w:r>
    </w:p>
    <w:p>
      <w:pPr>
        <w:spacing w:after="0" w:line="168" w:lineRule="exact"/>
        <w:rPr>
          <w:sz w:val="20"/>
          <w:szCs w:val="20"/>
          <w:color w:val="auto"/>
        </w:rPr>
      </w:pPr>
    </w:p>
    <w:p>
      <w:pPr>
        <w:ind w:right="140"/>
        <w:spacing w:after="0" w:line="237" w:lineRule="auto"/>
        <w:rPr>
          <w:sz w:val="20"/>
          <w:szCs w:val="20"/>
          <w:color w:val="auto"/>
        </w:rPr>
      </w:pPr>
      <w:r>
        <w:rPr>
          <w:rFonts w:ascii="Arial" w:cs="Arial" w:eastAsia="Arial" w:hAnsi="Arial"/>
          <w:sz w:val="13"/>
          <w:szCs w:val="13"/>
          <w:color w:val="auto"/>
        </w:rPr>
        <w:t>Upon the recommendation of our Nominating and Governance Committee, we are pleased to propose nine of our existing directors as nominees for election as directors at the Annual Meeting. As previously disclosed, two of our current directors, Ms. Kerr and Mr. Kelso, will not be standing for re-election at the Annual Meeting; the remaining nine directors are our director nominees at the Annual Meeting. Our nominees for re-election as directors at the Annual Meeting are as follows: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685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0420" cy="68580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820" w:type="dxa"/>
            <w:vAlign w:val="bottom"/>
          </w:tcPr>
          <w:p>
            <w:pPr>
              <w:ind w:left="1860"/>
              <w:spacing w:after="0"/>
              <w:rPr>
                <w:sz w:val="20"/>
                <w:szCs w:val="20"/>
                <w:color w:val="auto"/>
              </w:rPr>
            </w:pPr>
            <w:r>
              <w:rPr>
                <w:rFonts w:ascii="Arial" w:cs="Arial" w:eastAsia="Arial" w:hAnsi="Arial"/>
                <w:sz w:val="13"/>
                <w:szCs w:val="13"/>
                <w:b w:val="1"/>
                <w:bCs w:val="1"/>
                <w:color w:val="auto"/>
              </w:rPr>
              <w:t>Rohit Kapoor</w:t>
            </w:r>
          </w:p>
        </w:tc>
        <w:tc>
          <w:tcPr>
            <w:tcW w:w="5480" w:type="dxa"/>
            <w:vAlign w:val="bottom"/>
          </w:tcPr>
          <w:p>
            <w:pPr>
              <w:ind w:left="1740"/>
              <w:spacing w:after="0"/>
              <w:rPr>
                <w:sz w:val="20"/>
                <w:szCs w:val="20"/>
                <w:color w:val="auto"/>
              </w:rPr>
            </w:pPr>
            <w:r>
              <w:rPr>
                <w:rFonts w:ascii="Arial" w:cs="Arial" w:eastAsia="Arial" w:hAnsi="Arial"/>
                <w:sz w:val="13"/>
                <w:szCs w:val="13"/>
                <w:b w:val="1"/>
                <w:bCs w:val="1"/>
                <w:color w:val="auto"/>
              </w:rPr>
              <w:t>Vikram Pandit*</w:t>
            </w:r>
          </w:p>
        </w:tc>
        <w:tc>
          <w:tcPr>
            <w:tcW w:w="0" w:type="dxa"/>
            <w:vAlign w:val="bottom"/>
          </w:tcPr>
          <w:p>
            <w:pPr>
              <w:spacing w:after="0"/>
              <w:rPr>
                <w:sz w:val="1"/>
                <w:szCs w:val="1"/>
                <w:color w:val="auto"/>
              </w:rPr>
            </w:pPr>
          </w:p>
        </w:tc>
      </w:tr>
      <w:tr>
        <w:trPr>
          <w:trHeight w:val="164"/>
        </w:trPr>
        <w:tc>
          <w:tcPr>
            <w:tcW w:w="5820" w:type="dxa"/>
            <w:vAlign w:val="bottom"/>
          </w:tcPr>
          <w:p>
            <w:pPr>
              <w:ind w:left="1860"/>
              <w:spacing w:after="0"/>
              <w:rPr>
                <w:sz w:val="20"/>
                <w:szCs w:val="20"/>
                <w:color w:val="auto"/>
              </w:rPr>
            </w:pPr>
            <w:r>
              <w:rPr>
                <w:rFonts w:ascii="Arial" w:cs="Arial" w:eastAsia="Arial" w:hAnsi="Arial"/>
                <w:sz w:val="13"/>
                <w:szCs w:val="13"/>
                <w:i w:val="1"/>
                <w:iCs w:val="1"/>
                <w:color w:val="auto"/>
              </w:rPr>
              <w:t>Vice Chairman and CEO and Director</w:t>
            </w:r>
          </w:p>
        </w:tc>
        <w:tc>
          <w:tcPr>
            <w:tcW w:w="5480" w:type="dxa"/>
            <w:vAlign w:val="bottom"/>
          </w:tcPr>
          <w:p>
            <w:pPr>
              <w:ind w:left="1740"/>
              <w:spacing w:after="0"/>
              <w:rPr>
                <w:sz w:val="20"/>
                <w:szCs w:val="20"/>
                <w:color w:val="auto"/>
              </w:rPr>
            </w:pPr>
            <w:r>
              <w:rPr>
                <w:rFonts w:ascii="Arial" w:cs="Arial" w:eastAsia="Arial" w:hAnsi="Arial"/>
                <w:sz w:val="13"/>
                <w:szCs w:val="13"/>
                <w:i w:val="1"/>
                <w:iCs w:val="1"/>
                <w:color w:val="auto"/>
              </w:rPr>
              <w:t>Independent Director</w:t>
            </w:r>
          </w:p>
        </w:tc>
        <w:tc>
          <w:tcPr>
            <w:tcW w:w="0" w:type="dxa"/>
            <w:vAlign w:val="bottom"/>
          </w:tcPr>
          <w:p>
            <w:pPr>
              <w:spacing w:after="0"/>
              <w:rPr>
                <w:sz w:val="1"/>
                <w:szCs w:val="1"/>
                <w:color w:val="auto"/>
              </w:rPr>
            </w:pPr>
          </w:p>
        </w:tc>
      </w:tr>
      <w:tr>
        <w:trPr>
          <w:trHeight w:val="371"/>
        </w:trPr>
        <w:tc>
          <w:tcPr>
            <w:tcW w:w="58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20" w:type="dxa"/>
            <w:vAlign w:val="bottom"/>
          </w:tcPr>
          <w:p>
            <w:pPr>
              <w:ind w:left="1860"/>
              <w:spacing w:after="0"/>
              <w:rPr>
                <w:sz w:val="20"/>
                <w:szCs w:val="20"/>
                <w:color w:val="auto"/>
              </w:rPr>
            </w:pPr>
            <w:r>
              <w:rPr>
                <w:rFonts w:ascii="Arial" w:cs="Arial" w:eastAsia="Arial" w:hAnsi="Arial"/>
                <w:sz w:val="13"/>
                <w:szCs w:val="13"/>
                <w:b w:val="1"/>
                <w:bCs w:val="1"/>
                <w:color w:val="auto"/>
              </w:rPr>
              <w:t>Anne Minto</w:t>
            </w:r>
          </w:p>
        </w:tc>
        <w:tc>
          <w:tcPr>
            <w:tcW w:w="5480" w:type="dxa"/>
            <w:vAlign w:val="bottom"/>
            <w:vMerge w:val="restart"/>
          </w:tcPr>
          <w:p>
            <w:pPr>
              <w:ind w:left="1740"/>
              <w:spacing w:after="0"/>
              <w:rPr>
                <w:sz w:val="20"/>
                <w:szCs w:val="20"/>
                <w:color w:val="auto"/>
              </w:rPr>
            </w:pPr>
            <w:r>
              <w:rPr>
                <w:rFonts w:ascii="Arial" w:cs="Arial" w:eastAsia="Arial" w:hAnsi="Arial"/>
                <w:sz w:val="13"/>
                <w:szCs w:val="13"/>
                <w:b w:val="1"/>
                <w:bCs w:val="1"/>
                <w:color w:val="auto"/>
              </w:rPr>
              <w:t>Kristy Pipes</w:t>
            </w:r>
          </w:p>
        </w:tc>
        <w:tc>
          <w:tcPr>
            <w:tcW w:w="0" w:type="dxa"/>
            <w:vAlign w:val="bottom"/>
          </w:tcPr>
          <w:p>
            <w:pPr>
              <w:spacing w:after="0"/>
              <w:rPr>
                <w:sz w:val="1"/>
                <w:szCs w:val="1"/>
                <w:color w:val="auto"/>
              </w:rPr>
            </w:pPr>
          </w:p>
        </w:tc>
      </w:tr>
      <w:tr>
        <w:trPr>
          <w:trHeight w:val="78"/>
        </w:trPr>
        <w:tc>
          <w:tcPr>
            <w:tcW w:w="5820" w:type="dxa"/>
            <w:vAlign w:val="bottom"/>
            <w:vMerge w:val="restart"/>
          </w:tcPr>
          <w:p>
            <w:pPr>
              <w:ind w:left="1860"/>
              <w:spacing w:after="0" w:line="146" w:lineRule="exact"/>
              <w:rPr>
                <w:sz w:val="20"/>
                <w:szCs w:val="20"/>
                <w:color w:val="auto"/>
              </w:rPr>
            </w:pPr>
            <w:r>
              <w:rPr>
                <w:rFonts w:ascii="Arial" w:cs="Arial" w:eastAsia="Arial" w:hAnsi="Arial"/>
                <w:sz w:val="13"/>
                <w:szCs w:val="13"/>
                <w:i w:val="1"/>
                <w:iCs w:val="1"/>
                <w:color w:val="auto"/>
              </w:rPr>
              <w:t>Independent Director and Former Chair</w:t>
            </w:r>
          </w:p>
        </w:tc>
        <w:tc>
          <w:tcPr>
            <w:tcW w:w="5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820" w:type="dxa"/>
            <w:vAlign w:val="bottom"/>
            <w:vMerge w:val="continue"/>
          </w:tcPr>
          <w:p>
            <w:pPr>
              <w:spacing w:after="0"/>
              <w:rPr>
                <w:sz w:val="5"/>
                <w:szCs w:val="5"/>
                <w:color w:val="auto"/>
              </w:rPr>
            </w:pPr>
          </w:p>
        </w:tc>
        <w:tc>
          <w:tcPr>
            <w:tcW w:w="5480" w:type="dxa"/>
            <w:vAlign w:val="bottom"/>
            <w:vMerge w:val="restart"/>
          </w:tcPr>
          <w:p>
            <w:pPr>
              <w:ind w:left="1740"/>
              <w:spacing w:after="0"/>
              <w:rPr>
                <w:sz w:val="20"/>
                <w:szCs w:val="20"/>
                <w:color w:val="auto"/>
              </w:rPr>
            </w:pPr>
            <w:r>
              <w:rPr>
                <w:rFonts w:ascii="Arial" w:cs="Arial" w:eastAsia="Arial" w:hAnsi="Arial"/>
                <w:sz w:val="13"/>
                <w:szCs w:val="13"/>
                <w:i w:val="1"/>
                <w:iCs w:val="1"/>
                <w:color w:val="auto"/>
              </w:rPr>
              <w:t>Independent Director</w:t>
            </w:r>
          </w:p>
        </w:tc>
        <w:tc>
          <w:tcPr>
            <w:tcW w:w="0" w:type="dxa"/>
            <w:vAlign w:val="bottom"/>
          </w:tcPr>
          <w:p>
            <w:pPr>
              <w:spacing w:after="0"/>
              <w:rPr>
                <w:sz w:val="1"/>
                <w:szCs w:val="1"/>
                <w:color w:val="auto"/>
              </w:rPr>
            </w:pPr>
          </w:p>
        </w:tc>
      </w:tr>
      <w:tr>
        <w:trPr>
          <w:trHeight w:val="96"/>
        </w:trPr>
        <w:tc>
          <w:tcPr>
            <w:tcW w:w="5820" w:type="dxa"/>
            <w:vAlign w:val="bottom"/>
            <w:vMerge w:val="restart"/>
          </w:tcPr>
          <w:p>
            <w:pPr>
              <w:ind w:left="1860"/>
              <w:spacing w:after="0"/>
              <w:rPr>
                <w:sz w:val="20"/>
                <w:szCs w:val="20"/>
                <w:color w:val="auto"/>
              </w:rPr>
            </w:pPr>
            <w:r>
              <w:rPr>
                <w:rFonts w:ascii="Arial" w:cs="Arial" w:eastAsia="Arial" w:hAnsi="Arial"/>
                <w:sz w:val="13"/>
                <w:szCs w:val="13"/>
                <w:i w:val="1"/>
                <w:iCs w:val="1"/>
                <w:color w:val="auto"/>
              </w:rPr>
              <w:t>of the Compensation Committee</w:t>
            </w:r>
          </w:p>
        </w:tc>
        <w:tc>
          <w:tcPr>
            <w:tcW w:w="5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820" w:type="dxa"/>
            <w:vAlign w:val="bottom"/>
            <w:vMerge w:val="continue"/>
          </w:tcPr>
          <w:p>
            <w:pPr>
              <w:spacing w:after="0"/>
              <w:rPr>
                <w:sz w:val="5"/>
                <w:szCs w:val="5"/>
                <w:color w:val="auto"/>
              </w:rPr>
            </w:pPr>
          </w:p>
        </w:tc>
        <w:tc>
          <w:tcPr>
            <w:tcW w:w="5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58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20" w:type="dxa"/>
            <w:vAlign w:val="bottom"/>
            <w:vMerge w:val="restart"/>
          </w:tcPr>
          <w:p>
            <w:pPr>
              <w:ind w:left="1860"/>
              <w:spacing w:after="0"/>
              <w:rPr>
                <w:sz w:val="20"/>
                <w:szCs w:val="20"/>
                <w:color w:val="auto"/>
              </w:rPr>
            </w:pPr>
            <w:r>
              <w:rPr>
                <w:rFonts w:ascii="Arial" w:cs="Arial" w:eastAsia="Arial" w:hAnsi="Arial"/>
                <w:sz w:val="13"/>
                <w:szCs w:val="13"/>
                <w:b w:val="1"/>
                <w:bCs w:val="1"/>
                <w:color w:val="auto"/>
              </w:rPr>
              <w:t>Som Mittal</w:t>
            </w:r>
          </w:p>
        </w:tc>
        <w:tc>
          <w:tcPr>
            <w:tcW w:w="5480" w:type="dxa"/>
            <w:vAlign w:val="bottom"/>
          </w:tcPr>
          <w:p>
            <w:pPr>
              <w:ind w:left="1740"/>
              <w:spacing w:after="0"/>
              <w:rPr>
                <w:sz w:val="20"/>
                <w:szCs w:val="20"/>
                <w:color w:val="auto"/>
              </w:rPr>
            </w:pPr>
            <w:r>
              <w:rPr>
                <w:rFonts w:ascii="Arial" w:cs="Arial" w:eastAsia="Arial" w:hAnsi="Arial"/>
                <w:sz w:val="13"/>
                <w:szCs w:val="13"/>
                <w:b w:val="1"/>
                <w:bCs w:val="1"/>
                <w:color w:val="auto"/>
              </w:rPr>
              <w:t>Nitin Sahney</w:t>
            </w:r>
          </w:p>
        </w:tc>
        <w:tc>
          <w:tcPr>
            <w:tcW w:w="0" w:type="dxa"/>
            <w:vAlign w:val="bottom"/>
          </w:tcPr>
          <w:p>
            <w:pPr>
              <w:spacing w:after="0"/>
              <w:rPr>
                <w:sz w:val="1"/>
                <w:szCs w:val="1"/>
                <w:color w:val="auto"/>
              </w:rPr>
            </w:pPr>
          </w:p>
        </w:tc>
      </w:tr>
      <w:tr>
        <w:trPr>
          <w:trHeight w:val="78"/>
        </w:trPr>
        <w:tc>
          <w:tcPr>
            <w:tcW w:w="5820" w:type="dxa"/>
            <w:vAlign w:val="bottom"/>
            <w:vMerge w:val="continue"/>
          </w:tcPr>
          <w:p>
            <w:pPr>
              <w:spacing w:after="0"/>
              <w:rPr>
                <w:sz w:val="6"/>
                <w:szCs w:val="6"/>
                <w:color w:val="auto"/>
              </w:rPr>
            </w:pPr>
          </w:p>
        </w:tc>
        <w:tc>
          <w:tcPr>
            <w:tcW w:w="5480" w:type="dxa"/>
            <w:vAlign w:val="bottom"/>
            <w:vMerge w:val="restart"/>
          </w:tcPr>
          <w:p>
            <w:pPr>
              <w:ind w:left="1740"/>
              <w:spacing w:after="0" w:line="146" w:lineRule="exact"/>
              <w:rPr>
                <w:sz w:val="20"/>
                <w:szCs w:val="20"/>
                <w:color w:val="auto"/>
              </w:rPr>
            </w:pPr>
            <w:r>
              <w:rPr>
                <w:rFonts w:ascii="Arial" w:cs="Arial" w:eastAsia="Arial" w:hAnsi="Arial"/>
                <w:sz w:val="13"/>
                <w:szCs w:val="13"/>
                <w:i w:val="1"/>
                <w:iCs w:val="1"/>
                <w:color w:val="auto"/>
              </w:rPr>
              <w:t>Independent Director and Chair of the</w:t>
            </w:r>
          </w:p>
        </w:tc>
        <w:tc>
          <w:tcPr>
            <w:tcW w:w="0" w:type="dxa"/>
            <w:vAlign w:val="bottom"/>
          </w:tcPr>
          <w:p>
            <w:pPr>
              <w:spacing w:after="0"/>
              <w:rPr>
                <w:sz w:val="1"/>
                <w:szCs w:val="1"/>
                <w:color w:val="auto"/>
              </w:rPr>
            </w:pPr>
          </w:p>
        </w:tc>
      </w:tr>
      <w:tr>
        <w:trPr>
          <w:trHeight w:val="68"/>
        </w:trPr>
        <w:tc>
          <w:tcPr>
            <w:tcW w:w="5820" w:type="dxa"/>
            <w:vAlign w:val="bottom"/>
            <w:vMerge w:val="restart"/>
          </w:tcPr>
          <w:p>
            <w:pPr>
              <w:ind w:left="1860"/>
              <w:spacing w:after="0"/>
              <w:rPr>
                <w:sz w:val="20"/>
                <w:szCs w:val="20"/>
                <w:color w:val="auto"/>
              </w:rPr>
            </w:pPr>
            <w:r>
              <w:rPr>
                <w:rFonts w:ascii="Arial" w:cs="Arial" w:eastAsia="Arial" w:hAnsi="Arial"/>
                <w:sz w:val="13"/>
                <w:szCs w:val="13"/>
                <w:i w:val="1"/>
                <w:iCs w:val="1"/>
                <w:color w:val="auto"/>
              </w:rPr>
              <w:t>Independent Director</w:t>
            </w:r>
          </w:p>
        </w:tc>
        <w:tc>
          <w:tcPr>
            <w:tcW w:w="5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5820" w:type="dxa"/>
            <w:vAlign w:val="bottom"/>
            <w:vMerge w:val="continue"/>
          </w:tcPr>
          <w:p>
            <w:pPr>
              <w:spacing w:after="0"/>
              <w:rPr>
                <w:sz w:val="8"/>
                <w:szCs w:val="8"/>
                <w:color w:val="auto"/>
              </w:rPr>
            </w:pPr>
          </w:p>
        </w:tc>
        <w:tc>
          <w:tcPr>
            <w:tcW w:w="5480" w:type="dxa"/>
            <w:vAlign w:val="bottom"/>
            <w:vMerge w:val="restart"/>
          </w:tcPr>
          <w:p>
            <w:pPr>
              <w:ind w:left="1740"/>
              <w:spacing w:after="0"/>
              <w:rPr>
                <w:sz w:val="20"/>
                <w:szCs w:val="20"/>
                <w:color w:val="auto"/>
              </w:rPr>
            </w:pPr>
            <w:r>
              <w:rPr>
                <w:rFonts w:ascii="Arial" w:cs="Arial" w:eastAsia="Arial" w:hAnsi="Arial"/>
                <w:sz w:val="13"/>
                <w:szCs w:val="13"/>
                <w:i w:val="1"/>
                <w:iCs w:val="1"/>
                <w:color w:val="auto"/>
              </w:rPr>
              <w:t>Nominating and Governance Committee</w:t>
            </w:r>
          </w:p>
        </w:tc>
        <w:tc>
          <w:tcPr>
            <w:tcW w:w="0" w:type="dxa"/>
            <w:vAlign w:val="bottom"/>
          </w:tcPr>
          <w:p>
            <w:pPr>
              <w:spacing w:after="0"/>
              <w:rPr>
                <w:sz w:val="1"/>
                <w:szCs w:val="1"/>
                <w:color w:val="auto"/>
              </w:rPr>
            </w:pPr>
          </w:p>
        </w:tc>
      </w:tr>
      <w:tr>
        <w:trPr>
          <w:trHeight w:val="68"/>
        </w:trPr>
        <w:tc>
          <w:tcPr>
            <w:tcW w:w="5820" w:type="dxa"/>
            <w:vAlign w:val="bottom"/>
          </w:tcPr>
          <w:p>
            <w:pPr>
              <w:spacing w:after="0"/>
              <w:rPr>
                <w:sz w:val="5"/>
                <w:szCs w:val="5"/>
                <w:color w:val="auto"/>
              </w:rPr>
            </w:pPr>
          </w:p>
        </w:tc>
        <w:tc>
          <w:tcPr>
            <w:tcW w:w="5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58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20" w:type="dxa"/>
            <w:vAlign w:val="bottom"/>
          </w:tcPr>
          <w:p>
            <w:pPr>
              <w:ind w:left="1860"/>
              <w:spacing w:after="0"/>
              <w:rPr>
                <w:sz w:val="20"/>
                <w:szCs w:val="20"/>
                <w:color w:val="auto"/>
              </w:rPr>
            </w:pPr>
            <w:r>
              <w:rPr>
                <w:rFonts w:ascii="Arial" w:cs="Arial" w:eastAsia="Arial" w:hAnsi="Arial"/>
                <w:sz w:val="13"/>
                <w:szCs w:val="13"/>
                <w:b w:val="1"/>
                <w:bCs w:val="1"/>
                <w:color w:val="auto"/>
              </w:rPr>
              <w:t>Jaynie Studenmund</w:t>
            </w:r>
          </w:p>
        </w:tc>
        <w:tc>
          <w:tcPr>
            <w:tcW w:w="5480" w:type="dxa"/>
            <w:vAlign w:val="bottom"/>
          </w:tcPr>
          <w:p>
            <w:pPr>
              <w:ind w:left="1740"/>
              <w:spacing w:after="0"/>
              <w:rPr>
                <w:sz w:val="20"/>
                <w:szCs w:val="20"/>
                <w:color w:val="auto"/>
              </w:rPr>
            </w:pPr>
            <w:r>
              <w:rPr>
                <w:rFonts w:ascii="Arial" w:cs="Arial" w:eastAsia="Arial" w:hAnsi="Arial"/>
                <w:sz w:val="13"/>
                <w:szCs w:val="13"/>
                <w:b w:val="1"/>
                <w:bCs w:val="1"/>
                <w:color w:val="auto"/>
              </w:rPr>
              <w:t>Garen Staglin</w:t>
            </w:r>
          </w:p>
        </w:tc>
        <w:tc>
          <w:tcPr>
            <w:tcW w:w="0" w:type="dxa"/>
            <w:vAlign w:val="bottom"/>
          </w:tcPr>
          <w:p>
            <w:pPr>
              <w:spacing w:after="0"/>
              <w:rPr>
                <w:sz w:val="1"/>
                <w:szCs w:val="1"/>
                <w:color w:val="auto"/>
              </w:rPr>
            </w:pPr>
          </w:p>
        </w:tc>
      </w:tr>
      <w:tr>
        <w:trPr>
          <w:trHeight w:val="146"/>
        </w:trPr>
        <w:tc>
          <w:tcPr>
            <w:tcW w:w="5820" w:type="dxa"/>
            <w:vAlign w:val="bottom"/>
          </w:tcPr>
          <w:p>
            <w:pPr>
              <w:ind w:left="1860"/>
              <w:spacing w:after="0" w:line="146" w:lineRule="exact"/>
              <w:rPr>
                <w:sz w:val="20"/>
                <w:szCs w:val="20"/>
                <w:color w:val="auto"/>
              </w:rPr>
            </w:pPr>
            <w:r>
              <w:rPr>
                <w:rFonts w:ascii="Arial" w:cs="Arial" w:eastAsia="Arial" w:hAnsi="Arial"/>
                <w:sz w:val="13"/>
                <w:szCs w:val="13"/>
                <w:i w:val="1"/>
                <w:iCs w:val="1"/>
                <w:color w:val="auto"/>
              </w:rPr>
              <w:t>Independent Director and Chair of the</w:t>
            </w:r>
          </w:p>
        </w:tc>
        <w:tc>
          <w:tcPr>
            <w:tcW w:w="5480" w:type="dxa"/>
            <w:vAlign w:val="bottom"/>
          </w:tcPr>
          <w:p>
            <w:pPr>
              <w:ind w:left="1740"/>
              <w:spacing w:after="0" w:line="146" w:lineRule="exact"/>
              <w:rPr>
                <w:sz w:val="20"/>
                <w:szCs w:val="20"/>
                <w:color w:val="auto"/>
              </w:rPr>
            </w:pPr>
            <w:r>
              <w:rPr>
                <w:rFonts w:ascii="Arial" w:cs="Arial" w:eastAsia="Arial" w:hAnsi="Arial"/>
                <w:sz w:val="13"/>
                <w:szCs w:val="13"/>
                <w:i w:val="1"/>
                <w:iCs w:val="1"/>
                <w:color w:val="auto"/>
              </w:rPr>
              <w:t>Independent Director and</w:t>
            </w:r>
          </w:p>
        </w:tc>
        <w:tc>
          <w:tcPr>
            <w:tcW w:w="0" w:type="dxa"/>
            <w:vAlign w:val="bottom"/>
          </w:tcPr>
          <w:p>
            <w:pPr>
              <w:spacing w:after="0"/>
              <w:rPr>
                <w:sz w:val="1"/>
                <w:szCs w:val="1"/>
                <w:color w:val="auto"/>
              </w:rPr>
            </w:pPr>
          </w:p>
        </w:tc>
      </w:tr>
      <w:tr>
        <w:trPr>
          <w:trHeight w:val="164"/>
        </w:trPr>
        <w:tc>
          <w:tcPr>
            <w:tcW w:w="5820" w:type="dxa"/>
            <w:vAlign w:val="bottom"/>
          </w:tcPr>
          <w:p>
            <w:pPr>
              <w:ind w:left="1860"/>
              <w:spacing w:after="0"/>
              <w:rPr>
                <w:sz w:val="20"/>
                <w:szCs w:val="20"/>
                <w:color w:val="auto"/>
              </w:rPr>
            </w:pPr>
            <w:r>
              <w:rPr>
                <w:rFonts w:ascii="Arial" w:cs="Arial" w:eastAsia="Arial" w:hAnsi="Arial"/>
                <w:sz w:val="13"/>
                <w:szCs w:val="13"/>
                <w:i w:val="1"/>
                <w:iCs w:val="1"/>
                <w:color w:val="auto"/>
              </w:rPr>
              <w:t>Compensation Committee</w:t>
            </w:r>
          </w:p>
        </w:tc>
        <w:tc>
          <w:tcPr>
            <w:tcW w:w="5480" w:type="dxa"/>
            <w:vAlign w:val="bottom"/>
          </w:tcPr>
          <w:p>
            <w:pPr>
              <w:ind w:left="1740"/>
              <w:spacing w:after="0"/>
              <w:rPr>
                <w:sz w:val="20"/>
                <w:szCs w:val="20"/>
                <w:color w:val="auto"/>
              </w:rPr>
            </w:pPr>
            <w:r>
              <w:rPr>
                <w:rFonts w:ascii="Arial" w:cs="Arial" w:eastAsia="Arial" w:hAnsi="Arial"/>
                <w:sz w:val="13"/>
                <w:szCs w:val="13"/>
                <w:i w:val="1"/>
                <w:iCs w:val="1"/>
                <w:color w:val="auto"/>
              </w:rPr>
              <w:t>Chair of the Board</w:t>
            </w:r>
          </w:p>
        </w:tc>
        <w:tc>
          <w:tcPr>
            <w:tcW w:w="0" w:type="dxa"/>
            <w:vAlign w:val="bottom"/>
          </w:tcPr>
          <w:p>
            <w:pPr>
              <w:spacing w:after="0"/>
              <w:rPr>
                <w:sz w:val="1"/>
                <w:szCs w:val="1"/>
                <w:color w:val="auto"/>
              </w:rPr>
            </w:pPr>
          </w:p>
        </w:tc>
      </w:tr>
      <w:tr>
        <w:trPr>
          <w:trHeight w:val="302"/>
        </w:trPr>
        <w:tc>
          <w:tcPr>
            <w:tcW w:w="58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20" w:type="dxa"/>
            <w:vAlign w:val="bottom"/>
          </w:tcPr>
          <w:p>
            <w:pPr>
              <w:ind w:left="1860"/>
              <w:spacing w:after="0"/>
              <w:rPr>
                <w:sz w:val="20"/>
                <w:szCs w:val="20"/>
                <w:color w:val="auto"/>
              </w:rPr>
            </w:pPr>
            <w:r>
              <w:rPr>
                <w:rFonts w:ascii="Arial" w:cs="Arial" w:eastAsia="Arial" w:hAnsi="Arial"/>
                <w:sz w:val="13"/>
                <w:szCs w:val="13"/>
                <w:b w:val="1"/>
                <w:bCs w:val="1"/>
                <w:color w:val="auto"/>
              </w:rPr>
              <w:t>Clyde Ostler</w:t>
            </w: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820" w:type="dxa"/>
            <w:vAlign w:val="bottom"/>
          </w:tcPr>
          <w:p>
            <w:pPr>
              <w:ind w:left="1860"/>
              <w:spacing w:after="0" w:line="146" w:lineRule="exact"/>
              <w:rPr>
                <w:sz w:val="20"/>
                <w:szCs w:val="20"/>
                <w:color w:val="auto"/>
              </w:rPr>
            </w:pPr>
            <w:r>
              <w:rPr>
                <w:rFonts w:ascii="Arial" w:cs="Arial" w:eastAsia="Arial" w:hAnsi="Arial"/>
                <w:sz w:val="13"/>
                <w:szCs w:val="13"/>
                <w:i w:val="1"/>
                <w:iCs w:val="1"/>
                <w:color w:val="auto"/>
              </w:rPr>
              <w:t>Independent Director and</w:t>
            </w:r>
          </w:p>
        </w:tc>
        <w:tc>
          <w:tcPr>
            <w:tcW w:w="5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20" w:type="dxa"/>
            <w:vAlign w:val="bottom"/>
          </w:tcPr>
          <w:p>
            <w:pPr>
              <w:ind w:left="1860"/>
              <w:spacing w:after="0"/>
              <w:rPr>
                <w:sz w:val="20"/>
                <w:szCs w:val="20"/>
                <w:color w:val="auto"/>
              </w:rPr>
            </w:pPr>
            <w:r>
              <w:rPr>
                <w:rFonts w:ascii="Arial" w:cs="Arial" w:eastAsia="Arial" w:hAnsi="Arial"/>
                <w:sz w:val="13"/>
                <w:szCs w:val="13"/>
                <w:i w:val="1"/>
                <w:iCs w:val="1"/>
                <w:color w:val="auto"/>
              </w:rPr>
              <w:t>Chair of the Audit Committee</w:t>
            </w:r>
          </w:p>
        </w:tc>
        <w:tc>
          <w:tcPr>
            <w:tcW w:w="5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-2494280</wp:posOffset>
            </wp:positionV>
            <wp:extent cx="7170420" cy="2705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0420" cy="27051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 Mr. Pandit was appointed to the board as a director under the terms of an Investment Agreement as described on </w:t>
      </w:r>
      <w:r>
        <w:rPr>
          <w:rFonts w:ascii="Arial" w:cs="Arial" w:eastAsia="Arial" w:hAnsi="Arial"/>
          <w:sz w:val="10"/>
          <w:szCs w:val="10"/>
          <w:i w:val="1"/>
          <w:iCs w:val="1"/>
          <w:color w:val="auto"/>
        </w:rPr>
        <w:t>pages</w:t>
      </w:r>
      <w:r>
        <w:rPr>
          <w:rFonts w:ascii="Arial" w:cs="Arial" w:eastAsia="Arial" w:hAnsi="Arial"/>
          <w:sz w:val="10"/>
          <w:szCs w:val="10"/>
          <w:color w:val="auto"/>
        </w:rPr>
        <w:t xml:space="preserve"> 19 to 20 below.</w:t>
      </w:r>
    </w:p>
    <w:p>
      <w:pPr>
        <w:spacing w:after="0" w:line="166" w:lineRule="exact"/>
        <w:rPr>
          <w:sz w:val="20"/>
          <w:szCs w:val="20"/>
          <w:color w:val="auto"/>
        </w:rPr>
      </w:pPr>
    </w:p>
    <w:p>
      <w:pPr>
        <w:jc w:val="both"/>
        <w:ind w:right="20"/>
        <w:spacing w:after="0" w:line="239" w:lineRule="auto"/>
        <w:rPr>
          <w:sz w:val="20"/>
          <w:szCs w:val="20"/>
          <w:color w:val="auto"/>
        </w:rPr>
      </w:pPr>
      <w:r>
        <w:rPr>
          <w:rFonts w:ascii="Arial" w:cs="Arial" w:eastAsia="Arial" w:hAnsi="Arial"/>
          <w:sz w:val="13"/>
          <w:szCs w:val="13"/>
          <w:color w:val="auto"/>
        </w:rPr>
        <w:t>We believe that our director nominees and continuing directors, individually and together as a whole, possess the requisite skills, experience and qualifications necessary to maintain an effective board to serve the best interests of the Company and its stockholders described below under Director Qualifications (see page 12).</w:t>
      </w:r>
    </w:p>
    <w:p>
      <w:pPr>
        <w:spacing w:after="0" w:line="150"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In addition to satisfying these general qualifications considered by the Nominating and Governance Committee in connection with a director nomination, Vikram S. Pandit was appointed to the Board on October 4, 2018 as a director pursuant to the terms of an Investment Agreement, dated as of October 1, 2018 (the "Investment Agreement"), between the Company and Orogen Echo LLC (the "Purchaser"), an affiliate of The Orogen Group LLC ("The Orogen Group"). The Investment Agreement was entered into in connection with our issuance to the Purchaser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193040</wp:posOffset>
            </wp:positionV>
            <wp:extent cx="1408430" cy="3333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OUR BOARD OF DIRECTORS</w:t>
      </w:r>
    </w:p>
    <w:p>
      <w:pPr>
        <w:spacing w:after="0" w:line="168"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$150,000,000 in aggregate principal amount of 3.50% Convertible Senior Notes due October 1, 2024 (the "notes"). For so long as the Purchaser has the right to nominate a director to the Board under the Investment Agreement, we have, subject to the terms of the Investment Agreement, agreed to include such person in our list of nominees for election to our board of directors at each of our annual meetings of stockholders at which directors are to be elected, and to use our reasonable best efforts to cause the election of such person to our board of directors. The Purchaser's right to nominate a director will terminate if Purchaser and its affiliates beneficially own less than 50% of the number of shares of our common stock deemed beneficially owned by the Purchaser and its affiliates immediately following the issuance of the notes (which, for purposes of the Investment Agreement, includes shares of our common stock issuable upon conversion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140"/>
          </w:cols>
          <w:pgMar w:left="300" w:top="142" w:right="45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OUR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BOARD OF DIRECTORS</w:t>
      </w:r>
    </w:p>
    <w:p>
      <w:pPr>
        <w:spacing w:after="0" w:line="168" w:lineRule="exact"/>
        <w:rPr>
          <w:sz w:val="20"/>
          <w:szCs w:val="20"/>
          <w:color w:val="auto"/>
        </w:rPr>
      </w:pPr>
    </w:p>
    <w:p>
      <w:pPr>
        <w:jc w:val="both"/>
        <w:ind w:right="360"/>
        <w:spacing w:after="0" w:line="237" w:lineRule="auto"/>
        <w:rPr>
          <w:sz w:val="20"/>
          <w:szCs w:val="20"/>
          <w:color w:val="auto"/>
        </w:rPr>
      </w:pPr>
      <w:r>
        <w:rPr>
          <w:rFonts w:ascii="Arial" w:cs="Arial" w:eastAsia="Arial" w:hAnsi="Arial"/>
          <w:sz w:val="13"/>
          <w:szCs w:val="13"/>
          <w:color w:val="auto"/>
        </w:rPr>
        <w:t>The names, ages and principal occupations (which have continued for at least the past five years unless otherwise indicated) and other information, including the specific experience, qualifications, attributes or skills that led to the conclusion that such person should serve as a director of the Company, with respect to each of the nominees are set forth below. There are no family relationships among any of our directors or executive officers.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Nominees for 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3517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0420" cy="3517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479EFF"/>
        </w:rPr>
        <w:t>Rohit Kapoor</w:t>
      </w:r>
    </w:p>
    <w:p>
      <w:pPr>
        <w:spacing w:after="0" w:line="24" w:lineRule="exact"/>
        <w:rPr>
          <w:sz w:val="20"/>
          <w:szCs w:val="20"/>
          <w:color w:val="auto"/>
        </w:rPr>
      </w:pPr>
    </w:p>
    <w:p>
      <w:pPr>
        <w:spacing w:after="0"/>
        <w:tabs>
          <w:tab w:leader="none" w:pos="1940" w:val="left"/>
          <w:tab w:leader="none" w:pos="2100" w:val="left"/>
          <w:tab w:leader="none" w:pos="9920" w:val="left"/>
        </w:tabs>
        <w:rPr>
          <w:sz w:val="20"/>
          <w:szCs w:val="20"/>
          <w:color w:val="auto"/>
        </w:rPr>
      </w:pPr>
      <w:r>
        <w:rPr>
          <w:rFonts w:ascii="Arial" w:cs="Arial" w:eastAsia="Arial" w:hAnsi="Arial"/>
          <w:sz w:val="13"/>
          <w:szCs w:val="13"/>
          <w:b w:val="1"/>
          <w:bCs w:val="1"/>
          <w:color w:val="auto"/>
        </w:rPr>
        <w:t>Director since November 2002</w:t>
        <w:tab/>
        <w:t>|</w:t>
        <w:tab/>
        <w:t>Vice Chairman and CEO since April 2012</w:t>
      </w:r>
      <w:r>
        <w:rPr>
          <w:sz w:val="20"/>
          <w:szCs w:val="20"/>
          <w:color w:val="auto"/>
        </w:rPr>
        <w:tab/>
      </w:r>
      <w:r>
        <w:rPr>
          <w:rFonts w:ascii="Arial" w:cs="Arial" w:eastAsia="Arial" w:hAnsi="Arial"/>
          <w:sz w:val="12"/>
          <w:szCs w:val="12"/>
          <w:b w:val="1"/>
          <w:bCs w:val="1"/>
          <w:color w:val="479EFF"/>
        </w:rPr>
        <w:t>Non-Independent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876935" cy="26371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76935" cy="2637155"/>
                    </a:xfrm>
                    <a:prstGeom prst="rect">
                      <a:avLst/>
                    </a:prstGeom>
                    <a:noFill/>
                  </pic:spPr>
                </pic:pic>
              </a:graphicData>
            </a:graphic>
          </wp:anchor>
        </w:drawing>
      </w:r>
    </w:p>
    <w:p>
      <w:pPr>
        <w:spacing w:after="0" w:line="161" w:lineRule="exact"/>
        <w:rPr>
          <w:sz w:val="20"/>
          <w:szCs w:val="20"/>
          <w:color w:val="auto"/>
        </w:rPr>
      </w:pPr>
    </w:p>
    <w:p>
      <w:pPr>
        <w:ind w:left="1480" w:right="20"/>
        <w:spacing w:after="0" w:line="237" w:lineRule="auto"/>
        <w:rPr>
          <w:sz w:val="20"/>
          <w:szCs w:val="20"/>
          <w:color w:val="auto"/>
        </w:rPr>
      </w:pPr>
      <w:r>
        <w:rPr>
          <w:rFonts w:ascii="Arial" w:cs="Arial" w:eastAsia="Arial" w:hAnsi="Arial"/>
          <w:sz w:val="13"/>
          <w:szCs w:val="13"/>
          <w:color w:val="auto"/>
        </w:rPr>
        <w:t>Age: 56 — co-founded EXL in April 1999 and has served as our Vice Chairman and CEO since April 2012 and as a director since November 2002. He previously served as our President and CEO from May 2008 to March 2012. Mr. Kapoor's business experience and directorships are detailed below. The Company has concluded that, in connection with Mr. Kapoor's experience as a founder and current role as CEO of the Company, Mr. Kapoor should serve as a director.</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Committees: N/A</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Business Experience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14"/>
        </w:numPr>
        <w:rPr>
          <w:rFonts w:ascii="Arial" w:cs="Arial" w:eastAsia="Arial" w:hAnsi="Arial"/>
          <w:sz w:val="13"/>
          <w:szCs w:val="13"/>
          <w:color w:val="FF4000"/>
        </w:rPr>
      </w:pPr>
      <w:r>
        <w:rPr>
          <w:rFonts w:ascii="Arial" w:cs="Arial" w:eastAsia="Arial" w:hAnsi="Arial"/>
          <w:sz w:val="13"/>
          <w:szCs w:val="13"/>
          <w:color w:val="auto"/>
        </w:rPr>
        <w:t>Vice Chairman and CEO (2012 -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14"/>
        </w:numPr>
        <w:rPr>
          <w:rFonts w:ascii="Arial" w:cs="Arial" w:eastAsia="Arial" w:hAnsi="Arial"/>
          <w:sz w:val="13"/>
          <w:szCs w:val="13"/>
          <w:color w:val="FF4000"/>
        </w:rPr>
      </w:pPr>
      <w:r>
        <w:rPr>
          <w:rFonts w:ascii="Arial" w:cs="Arial" w:eastAsia="Arial" w:hAnsi="Arial"/>
          <w:sz w:val="13"/>
          <w:szCs w:val="13"/>
          <w:color w:val="auto"/>
        </w:rPr>
        <w:t>President and CEO (2008 - 2012)</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14"/>
        </w:numPr>
        <w:rPr>
          <w:rFonts w:ascii="Arial" w:cs="Arial" w:eastAsia="Arial" w:hAnsi="Arial"/>
          <w:sz w:val="13"/>
          <w:szCs w:val="13"/>
          <w:color w:val="FF4000"/>
        </w:rPr>
      </w:pPr>
      <w:r>
        <w:rPr>
          <w:rFonts w:ascii="Arial" w:cs="Arial" w:eastAsia="Arial" w:hAnsi="Arial"/>
          <w:sz w:val="13"/>
          <w:szCs w:val="13"/>
          <w:color w:val="auto"/>
        </w:rPr>
        <w:t>Various senior leadership roles, including CFO and COO (2000 - 2008)</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15"/>
        </w:numPr>
        <w:rPr>
          <w:rFonts w:ascii="Arial" w:cs="Arial" w:eastAsia="Arial" w:hAnsi="Arial"/>
          <w:sz w:val="13"/>
          <w:szCs w:val="13"/>
          <w:color w:val="FF4000"/>
        </w:rPr>
      </w:pPr>
      <w:r>
        <w:rPr>
          <w:rFonts w:ascii="Arial" w:cs="Arial" w:eastAsia="Arial" w:hAnsi="Arial"/>
          <w:sz w:val="13"/>
          <w:szCs w:val="13"/>
          <w:color w:val="auto"/>
        </w:rPr>
        <w:t>Business head, Deutsche Bank, a financial services provider (1999 - 2000)</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15"/>
        </w:numPr>
        <w:rPr>
          <w:rFonts w:ascii="Arial" w:cs="Arial" w:eastAsia="Arial" w:hAnsi="Arial"/>
          <w:sz w:val="13"/>
          <w:szCs w:val="13"/>
          <w:color w:val="FF4000"/>
        </w:rPr>
      </w:pPr>
      <w:r>
        <w:rPr>
          <w:rFonts w:ascii="Arial" w:cs="Arial" w:eastAsia="Arial" w:hAnsi="Arial"/>
          <w:sz w:val="13"/>
          <w:szCs w:val="13"/>
          <w:color w:val="auto"/>
        </w:rPr>
        <w:t>Various capacities at Bank of America in the United States and Asia, including India (1991 - 1999)</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Public Directorships During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16"/>
        </w:numPr>
        <w:rPr>
          <w:rFonts w:ascii="Arial" w:cs="Arial" w:eastAsia="Arial" w:hAnsi="Arial"/>
          <w:sz w:val="13"/>
          <w:szCs w:val="13"/>
          <w:color w:val="FF4000"/>
        </w:rPr>
      </w:pPr>
      <w:r>
        <w:rPr>
          <w:rFonts w:ascii="Arial" w:cs="Arial" w:eastAsia="Arial" w:hAnsi="Arial"/>
          <w:sz w:val="13"/>
          <w:szCs w:val="13"/>
          <w:color w:val="auto"/>
        </w:rPr>
        <w:t>Director and member of the audit committee and former lead independent director,CA Technologies, Inc., a software services company (NASDAQ: CA) (2012 - 2018)</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17"/>
        </w:numPr>
        <w:rPr>
          <w:rFonts w:ascii="Arial" w:cs="Arial" w:eastAsia="Arial" w:hAnsi="Arial"/>
          <w:sz w:val="13"/>
          <w:szCs w:val="13"/>
          <w:color w:val="FF4000"/>
        </w:rPr>
      </w:pPr>
      <w:r>
        <w:rPr>
          <w:rFonts w:ascii="Arial" w:cs="Arial" w:eastAsia="Arial" w:hAnsi="Arial"/>
          <w:sz w:val="13"/>
          <w:szCs w:val="13"/>
          <w:color w:val="auto"/>
        </w:rPr>
        <w:t>Member, Board of Directors, American India Foundation (AIF)</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17"/>
        </w:numPr>
        <w:rPr>
          <w:rFonts w:ascii="Arial" w:cs="Arial" w:eastAsia="Arial" w:hAnsi="Arial"/>
          <w:sz w:val="13"/>
          <w:szCs w:val="13"/>
          <w:color w:val="FF4000"/>
        </w:rPr>
      </w:pPr>
      <w:r>
        <w:rPr>
          <w:rFonts w:ascii="Arial" w:cs="Arial" w:eastAsia="Arial" w:hAnsi="Arial"/>
          <w:sz w:val="13"/>
          <w:szCs w:val="13"/>
          <w:color w:val="auto"/>
        </w:rPr>
        <w:t>Member, Board of Directors, Pratham (Tristate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70420"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0420" cy="1841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212725</wp:posOffset>
            </wp:positionV>
            <wp:extent cx="1408430" cy="3333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3517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0420" cy="3517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479EFF"/>
        </w:rPr>
        <w:t>Anne E. Minto</w:t>
      </w:r>
    </w:p>
    <w:p>
      <w:pPr>
        <w:spacing w:after="0" w:line="24" w:lineRule="exact"/>
        <w:rPr>
          <w:sz w:val="20"/>
          <w:szCs w:val="20"/>
          <w:color w:val="auto"/>
        </w:rPr>
      </w:pPr>
    </w:p>
    <w:p>
      <w:pPr>
        <w:spacing w:after="0"/>
        <w:tabs>
          <w:tab w:leader="none" w:pos="10080" w:val="left"/>
        </w:tabs>
        <w:rPr>
          <w:sz w:val="20"/>
          <w:szCs w:val="20"/>
          <w:color w:val="auto"/>
        </w:rPr>
      </w:pPr>
      <w:r>
        <w:rPr>
          <w:rFonts w:ascii="Arial" w:cs="Arial" w:eastAsia="Arial" w:hAnsi="Arial"/>
          <w:sz w:val="13"/>
          <w:szCs w:val="13"/>
          <w:b w:val="1"/>
          <w:bCs w:val="1"/>
          <w:color w:val="auto"/>
        </w:rPr>
        <w:t>Director since March 2013</w:t>
      </w:r>
      <w:r>
        <w:rPr>
          <w:sz w:val="20"/>
          <w:szCs w:val="20"/>
          <w:color w:val="auto"/>
        </w:rPr>
        <w:tab/>
      </w:r>
      <w:r>
        <w:rPr>
          <w:rFonts w:ascii="Arial" w:cs="Arial" w:eastAsia="Arial" w:hAnsi="Arial"/>
          <w:sz w:val="12"/>
          <w:szCs w:val="12"/>
          <w:b w:val="1"/>
          <w:bCs w:val="1"/>
          <w:color w:val="479E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876935" cy="18776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76935" cy="1877695"/>
                    </a:xfrm>
                    <a:prstGeom prst="rect">
                      <a:avLst/>
                    </a:prstGeom>
                    <a:noFill/>
                  </pic:spPr>
                </pic:pic>
              </a:graphicData>
            </a:graphic>
          </wp:anchor>
        </w:drawing>
      </w:r>
    </w:p>
    <w:p>
      <w:pPr>
        <w:spacing w:after="0" w:line="161" w:lineRule="exact"/>
        <w:rPr>
          <w:sz w:val="20"/>
          <w:szCs w:val="20"/>
          <w:color w:val="auto"/>
        </w:rPr>
      </w:pPr>
    </w:p>
    <w:p>
      <w:pPr>
        <w:ind w:left="1480"/>
        <w:spacing w:after="0" w:line="266" w:lineRule="auto"/>
        <w:rPr>
          <w:sz w:val="20"/>
          <w:szCs w:val="20"/>
          <w:color w:val="auto"/>
        </w:rPr>
      </w:pPr>
      <w:r>
        <w:rPr>
          <w:rFonts w:ascii="Arial" w:cs="Arial" w:eastAsia="Arial" w:hAnsi="Arial"/>
          <w:sz w:val="12"/>
          <w:szCs w:val="12"/>
          <w:color w:val="auto"/>
        </w:rPr>
        <w:t>Age: 67 — is a qualified lawyer and member of the Law Society of Scotland. Ms. Minto's business experience and directorships are detailed below. The Company has concluded, based in part on Ms. Minto's extensive experience as a member of international company boards and management in the human resources field and her expertise in human capital management, together with her knowledge and experience of the European business and regulatory environment, that Ms. Minto should serve as a director.</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18"/>
        </w:numPr>
        <w:rPr>
          <w:rFonts w:ascii="Arial" w:cs="Arial" w:eastAsia="Arial" w:hAnsi="Arial"/>
          <w:sz w:val="13"/>
          <w:szCs w:val="13"/>
          <w:color w:val="FF4000"/>
        </w:rPr>
      </w:pPr>
      <w:r>
        <w:rPr>
          <w:rFonts w:ascii="Arial" w:cs="Arial" w:eastAsia="Arial" w:hAnsi="Arial"/>
          <w:sz w:val="13"/>
          <w:szCs w:val="13"/>
          <w:color w:val="auto"/>
        </w:rPr>
        <w:t>Compensation, Nominating and Governance</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19"/>
        </w:numPr>
        <w:rPr>
          <w:rFonts w:ascii="Arial" w:cs="Arial" w:eastAsia="Arial" w:hAnsi="Arial"/>
          <w:sz w:val="13"/>
          <w:szCs w:val="13"/>
          <w:color w:val="FF4000"/>
        </w:rPr>
      </w:pPr>
      <w:r>
        <w:rPr>
          <w:rFonts w:ascii="Arial" w:cs="Arial" w:eastAsia="Arial" w:hAnsi="Arial"/>
          <w:sz w:val="13"/>
          <w:szCs w:val="13"/>
          <w:color w:val="auto"/>
        </w:rPr>
        <w:t>Qualified lawyer and member of Law Society of Scotland</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19"/>
        </w:numPr>
        <w:rPr>
          <w:rFonts w:ascii="Arial" w:cs="Arial" w:eastAsia="Arial" w:hAnsi="Arial"/>
          <w:sz w:val="13"/>
          <w:szCs w:val="13"/>
          <w:color w:val="FF4000"/>
        </w:rPr>
      </w:pPr>
      <w:r>
        <w:rPr>
          <w:rFonts w:ascii="Arial" w:cs="Arial" w:eastAsia="Arial" w:hAnsi="Arial"/>
          <w:sz w:val="13"/>
          <w:szCs w:val="13"/>
          <w:color w:val="auto"/>
        </w:rPr>
        <w:t>Group director, human resources and member of the executive committee, Centrica plc, an energy and services company (2002 - 2011)</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19"/>
        </w:numPr>
        <w:rPr>
          <w:rFonts w:ascii="Arial" w:cs="Arial" w:eastAsia="Arial" w:hAnsi="Arial"/>
          <w:sz w:val="13"/>
          <w:szCs w:val="13"/>
          <w:color w:val="FF4000"/>
        </w:rPr>
      </w:pPr>
      <w:r>
        <w:rPr>
          <w:rFonts w:ascii="Arial" w:cs="Arial" w:eastAsia="Arial" w:hAnsi="Arial"/>
          <w:sz w:val="13"/>
          <w:szCs w:val="13"/>
          <w:color w:val="auto"/>
        </w:rPr>
        <w:t>Prior senior management roles at Shell UK and Smiths Group plc</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Public Directorships During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20"/>
        </w:numPr>
        <w:rPr>
          <w:rFonts w:ascii="Arial" w:cs="Arial" w:eastAsia="Arial" w:hAnsi="Arial"/>
          <w:sz w:val="13"/>
          <w:szCs w:val="13"/>
          <w:color w:val="FF4000"/>
        </w:rPr>
      </w:pPr>
      <w:r>
        <w:rPr>
          <w:rFonts w:ascii="Arial" w:cs="Arial" w:eastAsia="Arial" w:hAnsi="Arial"/>
          <w:sz w:val="13"/>
          <w:szCs w:val="13"/>
          <w:color w:val="auto"/>
        </w:rPr>
        <w:t>Non-executive director, chairman of the remuneration committee, Tate &amp; Lyle plc, a global provider of specialty food products (LSE: TATE) (2012 - present)</w:t>
      </w:r>
    </w:p>
    <w:p>
      <w:pPr>
        <w:spacing w:after="0" w:line="142" w:lineRule="exact"/>
        <w:rPr>
          <w:rFonts w:ascii="Arial" w:cs="Arial" w:eastAsia="Arial" w:hAnsi="Arial"/>
          <w:sz w:val="13"/>
          <w:szCs w:val="13"/>
          <w:color w:val="FF4000"/>
        </w:rPr>
      </w:pPr>
    </w:p>
    <w:p>
      <w:pPr>
        <w:ind w:left="1740" w:right="400" w:hanging="134"/>
        <w:spacing w:after="0" w:line="239" w:lineRule="auto"/>
        <w:tabs>
          <w:tab w:leader="none" w:pos="1740" w:val="left"/>
        </w:tabs>
        <w:numPr>
          <w:ilvl w:val="0"/>
          <w:numId w:val="20"/>
        </w:numPr>
        <w:rPr>
          <w:rFonts w:ascii="Arial" w:cs="Arial" w:eastAsia="Arial" w:hAnsi="Arial"/>
          <w:sz w:val="13"/>
          <w:szCs w:val="13"/>
          <w:color w:val="FF4000"/>
        </w:rPr>
      </w:pPr>
      <w:r>
        <w:rPr>
          <w:rFonts w:ascii="Arial" w:cs="Arial" w:eastAsia="Arial" w:hAnsi="Arial"/>
          <w:sz w:val="13"/>
          <w:szCs w:val="13"/>
          <w:color w:val="auto"/>
        </w:rPr>
        <w:t>Non-executive director, chairman of the remuneration committee and member of the nomination and governance committee, Shire plc, a global biopharmaceutical company (NASDAQ: SHPG, LSE: SHP) (2010 - 2019)</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21"/>
        </w:numPr>
        <w:rPr>
          <w:rFonts w:ascii="Arial" w:cs="Arial" w:eastAsia="Arial" w:hAnsi="Arial"/>
          <w:sz w:val="13"/>
          <w:szCs w:val="13"/>
          <w:color w:val="FF4000"/>
        </w:rPr>
      </w:pPr>
      <w:r>
        <w:rPr>
          <w:rFonts w:ascii="Arial" w:cs="Arial" w:eastAsia="Arial" w:hAnsi="Arial"/>
          <w:sz w:val="13"/>
          <w:szCs w:val="13"/>
          <w:color w:val="auto"/>
        </w:rPr>
        <w:t>Non-executive director, Court of the University of Aberdeen</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21"/>
        </w:numPr>
        <w:rPr>
          <w:rFonts w:ascii="Arial" w:cs="Arial" w:eastAsia="Arial" w:hAnsi="Arial"/>
          <w:sz w:val="13"/>
          <w:szCs w:val="13"/>
          <w:color w:val="FF4000"/>
        </w:rPr>
      </w:pPr>
      <w:r>
        <w:rPr>
          <w:rFonts w:ascii="Arial" w:cs="Arial" w:eastAsia="Arial" w:hAnsi="Arial"/>
          <w:sz w:val="13"/>
          <w:szCs w:val="13"/>
          <w:color w:val="auto"/>
        </w:rPr>
        <w:t>Chairman, University of Aberdeen Development Trust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21"/>
        </w:numPr>
        <w:rPr>
          <w:rFonts w:ascii="Arial" w:cs="Arial" w:eastAsia="Arial" w:hAnsi="Arial"/>
          <w:sz w:val="13"/>
          <w:szCs w:val="13"/>
          <w:color w:val="FF4000"/>
        </w:rPr>
      </w:pPr>
      <w:r>
        <w:rPr>
          <w:rFonts w:ascii="Arial" w:cs="Arial" w:eastAsia="Arial" w:hAnsi="Arial"/>
          <w:sz w:val="13"/>
          <w:szCs w:val="13"/>
          <w:color w:val="auto"/>
        </w:rPr>
        <w:t>Fellow, Chartered Institute of Personnel &amp; Development and the City and Guilds of London Institute</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21"/>
        </w:numPr>
        <w:rPr>
          <w:rFonts w:ascii="Arial" w:cs="Arial" w:eastAsia="Arial" w:hAnsi="Arial"/>
          <w:sz w:val="13"/>
          <w:szCs w:val="13"/>
          <w:color w:val="FF4000"/>
        </w:rPr>
      </w:pPr>
      <w:r>
        <w:rPr>
          <w:rFonts w:ascii="Arial" w:cs="Arial" w:eastAsia="Arial" w:hAnsi="Arial"/>
          <w:sz w:val="13"/>
          <w:szCs w:val="13"/>
          <w:color w:val="auto"/>
        </w:rPr>
        <w:t>Fellow, Chartered Institute of Management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21"/>
        </w:numPr>
        <w:rPr>
          <w:rFonts w:ascii="Arial" w:cs="Arial" w:eastAsia="Arial" w:hAnsi="Arial"/>
          <w:sz w:val="13"/>
          <w:szCs w:val="13"/>
          <w:color w:val="FF4000"/>
        </w:rPr>
      </w:pPr>
      <w:r>
        <w:rPr>
          <w:rFonts w:ascii="Arial" w:cs="Arial" w:eastAsia="Arial" w:hAnsi="Arial"/>
          <w:sz w:val="13"/>
          <w:szCs w:val="13"/>
          <w:color w:val="auto"/>
        </w:rPr>
        <w:t>Recipient, Order of the British Empire for services to the U.K. engineering industry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70420"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0420" cy="18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212725</wp:posOffset>
            </wp:positionV>
            <wp:extent cx="1408430" cy="3333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180"/>
          </w:cols>
          <w:pgMar w:left="300" w:top="142" w:right="41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3517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0420" cy="3517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479EFF"/>
        </w:rPr>
        <w:t>Som Mittal</w:t>
      </w:r>
    </w:p>
    <w:p>
      <w:pPr>
        <w:spacing w:after="0" w:line="24" w:lineRule="exact"/>
        <w:rPr>
          <w:sz w:val="20"/>
          <w:szCs w:val="20"/>
          <w:color w:val="auto"/>
        </w:rPr>
      </w:pPr>
    </w:p>
    <w:p>
      <w:pPr>
        <w:spacing w:after="0"/>
        <w:tabs>
          <w:tab w:leader="none" w:pos="10080" w:val="left"/>
        </w:tabs>
        <w:rPr>
          <w:sz w:val="20"/>
          <w:szCs w:val="20"/>
          <w:color w:val="auto"/>
        </w:rPr>
      </w:pPr>
      <w:r>
        <w:rPr>
          <w:rFonts w:ascii="Arial" w:cs="Arial" w:eastAsia="Arial" w:hAnsi="Arial"/>
          <w:sz w:val="13"/>
          <w:szCs w:val="13"/>
          <w:b w:val="1"/>
          <w:bCs w:val="1"/>
          <w:color w:val="auto"/>
        </w:rPr>
        <w:t>Director since December 2013</w:t>
      </w:r>
      <w:r>
        <w:rPr>
          <w:sz w:val="20"/>
          <w:szCs w:val="20"/>
          <w:color w:val="auto"/>
        </w:rPr>
        <w:tab/>
      </w:r>
      <w:r>
        <w:rPr>
          <w:rFonts w:ascii="Arial" w:cs="Arial" w:eastAsia="Arial" w:hAnsi="Arial"/>
          <w:sz w:val="12"/>
          <w:szCs w:val="12"/>
          <w:b w:val="1"/>
          <w:bCs w:val="1"/>
          <w:color w:val="479E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876935" cy="2247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76935" cy="2247900"/>
                    </a:xfrm>
                    <a:prstGeom prst="rect">
                      <a:avLst/>
                    </a:prstGeom>
                    <a:noFill/>
                  </pic:spPr>
                </pic:pic>
              </a:graphicData>
            </a:graphic>
          </wp:anchor>
        </w:drawing>
      </w:r>
    </w:p>
    <w:p>
      <w:pPr>
        <w:spacing w:after="0" w:line="161" w:lineRule="exact"/>
        <w:rPr>
          <w:sz w:val="20"/>
          <w:szCs w:val="20"/>
          <w:color w:val="auto"/>
        </w:rPr>
      </w:pPr>
    </w:p>
    <w:p>
      <w:pPr>
        <w:ind w:left="1480" w:right="80"/>
        <w:spacing w:after="0" w:line="237" w:lineRule="auto"/>
        <w:rPr>
          <w:sz w:val="20"/>
          <w:szCs w:val="20"/>
          <w:color w:val="auto"/>
        </w:rPr>
      </w:pPr>
      <w:r>
        <w:rPr>
          <w:rFonts w:ascii="Arial" w:cs="Arial" w:eastAsia="Arial" w:hAnsi="Arial"/>
          <w:sz w:val="13"/>
          <w:szCs w:val="13"/>
          <w:color w:val="auto"/>
        </w:rPr>
        <w:t>Age: 69 — has held various corporate leadership roles in the IT industry since 1989 and has extensive experience in the engineering and automotive sectors. His business experience and directorships are detailed below. The Company has concluded, based in part on Mr. Mittal's business experience as President of NASSCOM, his knowledge of the global outsourcing industry and his expertise in corporate sustainability and responsibility, that Mr. Mittal should serve as a director.</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22"/>
        </w:numPr>
        <w:rPr>
          <w:rFonts w:ascii="Arial" w:cs="Arial" w:eastAsia="Arial" w:hAnsi="Arial"/>
          <w:sz w:val="13"/>
          <w:szCs w:val="13"/>
          <w:color w:val="FF4000"/>
        </w:rPr>
      </w:pPr>
      <w:r>
        <w:rPr>
          <w:rFonts w:ascii="Arial" w:cs="Arial" w:eastAsia="Arial" w:hAnsi="Arial"/>
          <w:sz w:val="13"/>
          <w:szCs w:val="13"/>
          <w:color w:val="auto"/>
        </w:rPr>
        <w:t>Compensation, Nominating and Governance</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23"/>
        </w:numPr>
        <w:rPr>
          <w:rFonts w:ascii="Arial" w:cs="Arial" w:eastAsia="Arial" w:hAnsi="Arial"/>
          <w:sz w:val="13"/>
          <w:szCs w:val="13"/>
          <w:color w:val="FF4000"/>
        </w:rPr>
      </w:pPr>
      <w:r>
        <w:rPr>
          <w:rFonts w:ascii="Arial" w:cs="Arial" w:eastAsia="Arial" w:hAnsi="Arial"/>
          <w:sz w:val="13"/>
          <w:szCs w:val="13"/>
          <w:color w:val="auto"/>
        </w:rPr>
        <w:t>Chairman and President, NASSCOM, a trade body for the IT and business process management industries in India (2008 - 2014)</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23"/>
        </w:numPr>
        <w:rPr>
          <w:rFonts w:ascii="Arial" w:cs="Arial" w:eastAsia="Arial" w:hAnsi="Arial"/>
          <w:sz w:val="13"/>
          <w:szCs w:val="13"/>
          <w:color w:val="FF4000"/>
        </w:rPr>
      </w:pPr>
      <w:r>
        <w:rPr>
          <w:rFonts w:ascii="Arial" w:cs="Arial" w:eastAsia="Arial" w:hAnsi="Arial"/>
          <w:sz w:val="13"/>
          <w:szCs w:val="13"/>
          <w:color w:val="auto"/>
        </w:rPr>
        <w:t>Prior leadership roles at Wipro, Digital, Compaq and HP</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23"/>
        </w:numPr>
        <w:rPr>
          <w:rFonts w:ascii="Arial" w:cs="Arial" w:eastAsia="Arial" w:hAnsi="Arial"/>
          <w:sz w:val="13"/>
          <w:szCs w:val="13"/>
          <w:color w:val="FF4000"/>
        </w:rPr>
      </w:pPr>
      <w:r>
        <w:rPr>
          <w:rFonts w:ascii="Arial" w:cs="Arial" w:eastAsia="Arial" w:hAnsi="Arial"/>
          <w:sz w:val="13"/>
          <w:szCs w:val="13"/>
          <w:color w:val="auto"/>
        </w:rPr>
        <w:t>Prior executive roles at Larsen and Tourbo, Escorts and Denso</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Public Directorships During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24"/>
        </w:numPr>
        <w:rPr>
          <w:rFonts w:ascii="Arial" w:cs="Arial" w:eastAsia="Arial" w:hAnsi="Arial"/>
          <w:sz w:val="13"/>
          <w:szCs w:val="13"/>
          <w:color w:val="FF4000"/>
        </w:rPr>
      </w:pPr>
      <w:r>
        <w:rPr>
          <w:rFonts w:ascii="Arial" w:cs="Arial" w:eastAsia="Arial" w:hAnsi="Arial"/>
          <w:sz w:val="13"/>
          <w:szCs w:val="13"/>
          <w:color w:val="auto"/>
        </w:rPr>
        <w:t>Director and member of audit and risk management committee, Cyient Ltd., an engineering design services company (NSE:CYIENT) (2014 -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24"/>
        </w:numPr>
        <w:rPr>
          <w:rFonts w:ascii="Arial" w:cs="Arial" w:eastAsia="Arial" w:hAnsi="Arial"/>
          <w:sz w:val="13"/>
          <w:szCs w:val="13"/>
          <w:color w:val="FF4000"/>
        </w:rPr>
      </w:pPr>
      <w:r>
        <w:rPr>
          <w:rFonts w:ascii="Arial" w:cs="Arial" w:eastAsia="Arial" w:hAnsi="Arial"/>
          <w:sz w:val="13"/>
          <w:szCs w:val="13"/>
          <w:color w:val="auto"/>
        </w:rPr>
        <w:t>Director and chairman of nomination and remuneration committee, Sheela Foam Ltd., a manufacturing company (NSE: SFL) (2016 - present)</w:t>
      </w:r>
    </w:p>
    <w:p>
      <w:pPr>
        <w:spacing w:after="0" w:line="142" w:lineRule="exact"/>
        <w:rPr>
          <w:rFonts w:ascii="Arial" w:cs="Arial" w:eastAsia="Arial" w:hAnsi="Arial"/>
          <w:sz w:val="13"/>
          <w:szCs w:val="13"/>
          <w:color w:val="FF4000"/>
        </w:rPr>
      </w:pPr>
    </w:p>
    <w:p>
      <w:pPr>
        <w:ind w:left="1740" w:right="540" w:hanging="134"/>
        <w:spacing w:after="0" w:line="239" w:lineRule="auto"/>
        <w:tabs>
          <w:tab w:leader="none" w:pos="1740" w:val="left"/>
        </w:tabs>
        <w:numPr>
          <w:ilvl w:val="0"/>
          <w:numId w:val="24"/>
        </w:numPr>
        <w:rPr>
          <w:rFonts w:ascii="Arial" w:cs="Arial" w:eastAsia="Arial" w:hAnsi="Arial"/>
          <w:sz w:val="13"/>
          <w:szCs w:val="13"/>
          <w:color w:val="FF4000"/>
        </w:rPr>
      </w:pPr>
      <w:r>
        <w:rPr>
          <w:rFonts w:ascii="Arial" w:cs="Arial" w:eastAsia="Arial" w:hAnsi="Arial"/>
          <w:sz w:val="13"/>
          <w:szCs w:val="13"/>
          <w:color w:val="auto"/>
        </w:rPr>
        <w:t>Director and chairman of customer service committee and IT strategy committee, member of nomination and remuneration committee and other committees, Axis Bank, Ltd., a financial services company (NSE:Axis) (2011 - 2019)</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25"/>
        </w:numPr>
        <w:rPr>
          <w:rFonts w:ascii="Arial" w:cs="Arial" w:eastAsia="Arial" w:hAnsi="Arial"/>
          <w:sz w:val="13"/>
          <w:szCs w:val="13"/>
          <w:color w:val="FF4000"/>
        </w:rPr>
      </w:pPr>
      <w:r>
        <w:rPr>
          <w:rFonts w:ascii="Arial" w:cs="Arial" w:eastAsia="Arial" w:hAnsi="Arial"/>
          <w:sz w:val="13"/>
          <w:szCs w:val="13"/>
          <w:color w:val="auto"/>
        </w:rPr>
        <w:t>Director, Tata SIA Airlines, Ltd., an Indian airline joint venture between TATA and Singapore Airlines with Indian and international operations (2015 - present)</w:t>
      </w:r>
    </w:p>
    <w:p>
      <w:pPr>
        <w:spacing w:after="0" w:line="142" w:lineRule="exact"/>
        <w:rPr>
          <w:rFonts w:ascii="Arial" w:cs="Arial" w:eastAsia="Arial" w:hAnsi="Arial"/>
          <w:sz w:val="13"/>
          <w:szCs w:val="13"/>
          <w:color w:val="FF4000"/>
        </w:rPr>
      </w:pPr>
    </w:p>
    <w:p>
      <w:pPr>
        <w:ind w:left="1740" w:right="460" w:hanging="134"/>
        <w:spacing w:after="0" w:line="278" w:lineRule="auto"/>
        <w:tabs>
          <w:tab w:leader="none" w:pos="1740" w:val="left"/>
        </w:tabs>
        <w:numPr>
          <w:ilvl w:val="0"/>
          <w:numId w:val="25"/>
        </w:numPr>
        <w:rPr>
          <w:rFonts w:ascii="Arial" w:cs="Arial" w:eastAsia="Arial" w:hAnsi="Arial"/>
          <w:sz w:val="12"/>
          <w:szCs w:val="12"/>
          <w:color w:val="FF4000"/>
        </w:rPr>
      </w:pPr>
      <w:r>
        <w:rPr>
          <w:rFonts w:ascii="Arial" w:cs="Arial" w:eastAsia="Arial" w:hAnsi="Arial"/>
          <w:sz w:val="12"/>
          <w:szCs w:val="12"/>
          <w:color w:val="auto"/>
        </w:rPr>
        <w:t>Non executive Independent Director and Chairman, Vodafone India Services India Pvt Ltd., an Indian shared services company that is wholly owned, operated and controlled by Vodafone Group Plc ("Vodafone") and provides information technology and networks services, among others, to Vodafone (2020 - present)</w:t>
      </w:r>
    </w:p>
    <w:p>
      <w:pPr>
        <w:spacing w:after="0" w:line="112"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26"/>
        </w:numPr>
        <w:rPr>
          <w:rFonts w:ascii="Arial" w:cs="Arial" w:eastAsia="Arial" w:hAnsi="Arial"/>
          <w:sz w:val="13"/>
          <w:szCs w:val="13"/>
          <w:color w:val="FF4000"/>
        </w:rPr>
      </w:pPr>
      <w:r>
        <w:rPr>
          <w:rFonts w:ascii="Arial" w:cs="Arial" w:eastAsia="Arial" w:hAnsi="Arial"/>
          <w:sz w:val="13"/>
          <w:szCs w:val="13"/>
          <w:color w:val="auto"/>
        </w:rPr>
        <w:t>Former member, Board of Governors, Indian Institute of Corporate Affairs</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26"/>
        </w:numPr>
        <w:rPr>
          <w:rFonts w:ascii="Arial" w:cs="Arial" w:eastAsia="Arial" w:hAnsi="Arial"/>
          <w:sz w:val="13"/>
          <w:szCs w:val="13"/>
          <w:color w:val="FF4000"/>
        </w:rPr>
      </w:pPr>
      <w:r>
        <w:rPr>
          <w:rFonts w:ascii="Arial" w:cs="Arial" w:eastAsia="Arial" w:hAnsi="Arial"/>
          <w:sz w:val="13"/>
          <w:szCs w:val="13"/>
          <w:color w:val="auto"/>
        </w:rPr>
        <w:t>Former Committee Member, Indian Prime Minister's National e-Governance Program</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26"/>
        </w:numPr>
        <w:rPr>
          <w:rFonts w:ascii="Arial" w:cs="Arial" w:eastAsia="Arial" w:hAnsi="Arial"/>
          <w:sz w:val="13"/>
          <w:szCs w:val="13"/>
          <w:color w:val="FF4000"/>
        </w:rPr>
      </w:pPr>
      <w:r>
        <w:rPr>
          <w:rFonts w:ascii="Arial" w:cs="Arial" w:eastAsia="Arial" w:hAnsi="Arial"/>
          <w:sz w:val="13"/>
          <w:szCs w:val="13"/>
          <w:color w:val="auto"/>
        </w:rPr>
        <w:t>Member of the governing body of Axis Bank Foundation, a non-profit organization, and member of board of governors of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70420"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0420" cy="1841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212725</wp:posOffset>
            </wp:positionV>
            <wp:extent cx="1408430" cy="3333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3517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0420" cy="3517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479EFF"/>
        </w:rPr>
        <w:t>Clyde W. Ostler</w:t>
      </w:r>
    </w:p>
    <w:p>
      <w:pPr>
        <w:spacing w:after="0" w:line="24" w:lineRule="exact"/>
        <w:rPr>
          <w:sz w:val="20"/>
          <w:szCs w:val="20"/>
          <w:color w:val="auto"/>
        </w:rPr>
      </w:pPr>
    </w:p>
    <w:p>
      <w:pPr>
        <w:spacing w:after="0"/>
        <w:tabs>
          <w:tab w:leader="none" w:pos="10080" w:val="left"/>
        </w:tabs>
        <w:rPr>
          <w:sz w:val="20"/>
          <w:szCs w:val="20"/>
          <w:color w:val="auto"/>
        </w:rPr>
      </w:pPr>
      <w:r>
        <w:rPr>
          <w:rFonts w:ascii="Arial" w:cs="Arial" w:eastAsia="Arial" w:hAnsi="Arial"/>
          <w:sz w:val="13"/>
          <w:szCs w:val="13"/>
          <w:b w:val="1"/>
          <w:bCs w:val="1"/>
          <w:color w:val="auto"/>
        </w:rPr>
        <w:t>Director since December 2007</w:t>
      </w:r>
      <w:r>
        <w:rPr>
          <w:sz w:val="20"/>
          <w:szCs w:val="20"/>
          <w:color w:val="auto"/>
        </w:rPr>
        <w:tab/>
      </w:r>
      <w:r>
        <w:rPr>
          <w:rFonts w:ascii="Arial" w:cs="Arial" w:eastAsia="Arial" w:hAnsi="Arial"/>
          <w:sz w:val="12"/>
          <w:szCs w:val="12"/>
          <w:b w:val="1"/>
          <w:bCs w:val="1"/>
          <w:color w:val="479E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876935" cy="2247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76935" cy="2247900"/>
                    </a:xfrm>
                    <a:prstGeom prst="rect">
                      <a:avLst/>
                    </a:prstGeom>
                    <a:noFill/>
                  </pic:spPr>
                </pic:pic>
              </a:graphicData>
            </a:graphic>
          </wp:anchor>
        </w:drawing>
      </w:r>
    </w:p>
    <w:p>
      <w:pPr>
        <w:spacing w:after="0" w:line="161" w:lineRule="exact"/>
        <w:rPr>
          <w:sz w:val="20"/>
          <w:szCs w:val="20"/>
          <w:color w:val="auto"/>
        </w:rPr>
      </w:pPr>
    </w:p>
    <w:p>
      <w:pPr>
        <w:ind w:left="1480"/>
        <w:spacing w:after="0" w:line="239" w:lineRule="auto"/>
        <w:rPr>
          <w:sz w:val="20"/>
          <w:szCs w:val="20"/>
          <w:color w:val="auto"/>
        </w:rPr>
      </w:pPr>
      <w:r>
        <w:rPr>
          <w:rFonts w:ascii="Arial" w:cs="Arial" w:eastAsia="Arial" w:hAnsi="Arial"/>
          <w:sz w:val="13"/>
          <w:szCs w:val="13"/>
          <w:color w:val="auto"/>
        </w:rPr>
        <w:t>Age: 74 — is a retired executive of Wells Fargo and during his 40-year tenure held numerous senior leadership positions within that organization. The Company has concluded, based in part on Mr. Ostler should serve as a director.</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27"/>
        </w:numPr>
        <w:rPr>
          <w:rFonts w:ascii="Arial" w:cs="Arial" w:eastAsia="Arial" w:hAnsi="Arial"/>
          <w:sz w:val="13"/>
          <w:szCs w:val="13"/>
          <w:color w:val="FF4000"/>
        </w:rPr>
      </w:pPr>
      <w:r>
        <w:rPr>
          <w:rFonts w:ascii="Arial" w:cs="Arial" w:eastAsia="Arial" w:hAnsi="Arial"/>
          <w:sz w:val="13"/>
          <w:szCs w:val="13"/>
          <w:color w:val="auto"/>
        </w:rPr>
        <w:t>Audit (Chair)*, Compensation</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jc w:val="both"/>
        <w:ind w:left="1740" w:right="80" w:hanging="134"/>
        <w:spacing w:after="0" w:line="237" w:lineRule="auto"/>
        <w:tabs>
          <w:tab w:leader="none" w:pos="1740" w:val="left"/>
        </w:tabs>
        <w:numPr>
          <w:ilvl w:val="0"/>
          <w:numId w:val="28"/>
        </w:numPr>
        <w:rPr>
          <w:rFonts w:ascii="Arial" w:cs="Arial" w:eastAsia="Arial" w:hAnsi="Arial"/>
          <w:sz w:val="13"/>
          <w:szCs w:val="13"/>
          <w:color w:val="FF4000"/>
        </w:rPr>
      </w:pPr>
      <w:r>
        <w:rPr>
          <w:rFonts w:ascii="Arial" w:cs="Arial" w:eastAsia="Arial" w:hAnsi="Arial"/>
          <w:sz w:val="13"/>
          <w:szCs w:val="13"/>
          <w:color w:val="auto"/>
        </w:rPr>
        <w:t>Leadership positions within Wells Fargo, including: Group Executive Vice President, Wells Fargo &amp; Co., Vice Chairman, Wells Fargo Bank California NA, President, Wells Fargo Family Wealth, Vice Chairman in the Office of the President, Chief Financial Officer, Chief Auditor, Head of Retail Branch Banking, Head of Information Technology, Head of Institutional and Personal Investments and Head of Internet Services</w:t>
      </w:r>
    </w:p>
    <w:p>
      <w:pPr>
        <w:spacing w:after="0" w:line="140" w:lineRule="exact"/>
        <w:rPr>
          <w:rFonts w:ascii="Arial" w:cs="Arial" w:eastAsia="Arial" w:hAnsi="Arial"/>
          <w:sz w:val="13"/>
          <w:szCs w:val="13"/>
          <w:color w:val="FF4000"/>
        </w:rPr>
      </w:pPr>
    </w:p>
    <w:p>
      <w:pPr>
        <w:ind w:left="1740" w:hanging="134"/>
        <w:spacing w:after="0"/>
        <w:tabs>
          <w:tab w:leader="none" w:pos="1740" w:val="left"/>
        </w:tabs>
        <w:numPr>
          <w:ilvl w:val="0"/>
          <w:numId w:val="28"/>
        </w:numPr>
        <w:rPr>
          <w:rFonts w:ascii="Arial" w:cs="Arial" w:eastAsia="Arial" w:hAnsi="Arial"/>
          <w:sz w:val="13"/>
          <w:szCs w:val="13"/>
          <w:color w:val="FF4000"/>
        </w:rPr>
      </w:pPr>
      <w:r>
        <w:rPr>
          <w:rFonts w:ascii="Arial" w:cs="Arial" w:eastAsia="Arial" w:hAnsi="Arial"/>
          <w:sz w:val="13"/>
          <w:szCs w:val="13"/>
          <w:color w:val="auto"/>
        </w:rPr>
        <w:t>Served on the Senior Management Committee of Wells Fargo for over 25 years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Public Directorships During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29"/>
        </w:numPr>
        <w:rPr>
          <w:rFonts w:ascii="Arial" w:cs="Arial" w:eastAsia="Arial" w:hAnsi="Arial"/>
          <w:sz w:val="13"/>
          <w:szCs w:val="13"/>
          <w:color w:val="FF4000"/>
        </w:rPr>
      </w:pPr>
      <w:r>
        <w:rPr>
          <w:rFonts w:ascii="Arial" w:cs="Arial" w:eastAsia="Arial" w:hAnsi="Arial"/>
          <w:sz w:val="13"/>
          <w:szCs w:val="13"/>
          <w:color w:val="auto"/>
        </w:rPr>
        <w:t>Director, McClatchy Company, a media company (NYSE: MNI) (2013 - 2020)</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30"/>
        </w:numPr>
        <w:rPr>
          <w:rFonts w:ascii="Arial" w:cs="Arial" w:eastAsia="Arial" w:hAnsi="Arial"/>
          <w:sz w:val="13"/>
          <w:szCs w:val="13"/>
          <w:color w:val="FF4000"/>
        </w:rPr>
      </w:pPr>
      <w:r>
        <w:rPr>
          <w:rFonts w:ascii="Arial" w:cs="Arial" w:eastAsia="Arial" w:hAnsi="Arial"/>
          <w:sz w:val="13"/>
          <w:szCs w:val="13"/>
          <w:color w:val="auto"/>
        </w:rPr>
        <w:t>Advisory Director Emeritus, FTV Capital, a private global investment company</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1"/>
          <w:numId w:val="31"/>
        </w:numPr>
        <w:rPr>
          <w:rFonts w:ascii="Arial" w:cs="Arial" w:eastAsia="Arial" w:hAnsi="Arial"/>
          <w:sz w:val="13"/>
          <w:szCs w:val="13"/>
          <w:color w:val="FF4000"/>
        </w:rPr>
      </w:pPr>
      <w:r>
        <w:rPr>
          <w:rFonts w:ascii="Arial" w:cs="Arial" w:eastAsia="Arial" w:hAnsi="Arial"/>
          <w:sz w:val="13"/>
          <w:szCs w:val="13"/>
          <w:color w:val="auto"/>
        </w:rPr>
        <w:t>Director's Advisory Council, Scripps Institution of Oceanography</w:t>
      </w:r>
    </w:p>
    <w:p>
      <w:pPr>
        <w:spacing w:after="0" w:line="182" w:lineRule="exact"/>
        <w:rPr>
          <w:rFonts w:ascii="Arial" w:cs="Arial" w:eastAsia="Arial" w:hAnsi="Arial"/>
          <w:sz w:val="13"/>
          <w:szCs w:val="13"/>
          <w:color w:val="FF4000"/>
        </w:rPr>
      </w:pPr>
    </w:p>
    <w:p>
      <w:pPr>
        <w:spacing w:after="0"/>
        <w:rPr>
          <w:rFonts w:ascii="Arial" w:cs="Arial" w:eastAsia="Arial" w:hAnsi="Arial"/>
          <w:sz w:val="13"/>
          <w:szCs w:val="13"/>
          <w:color w:val="FF4000"/>
        </w:rPr>
      </w:pPr>
      <w:r>
        <w:rPr>
          <w:rFonts w:ascii="Arial" w:cs="Arial" w:eastAsia="Arial" w:hAnsi="Arial"/>
          <w:sz w:val="10"/>
          <w:szCs w:val="10"/>
          <w:color w:val="auto"/>
        </w:rPr>
        <w:t>* Audit committee financial expert under applicable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-191770</wp:posOffset>
            </wp:positionV>
            <wp:extent cx="7170420"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0420" cy="18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196850</wp:posOffset>
            </wp:positionV>
            <wp:extent cx="1408430" cy="333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3517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0420" cy="3517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479EFF"/>
        </w:rPr>
        <w:t>Vikram S. Pandit</w:t>
      </w:r>
    </w:p>
    <w:p>
      <w:pPr>
        <w:spacing w:after="0" w:line="24" w:lineRule="exact"/>
        <w:rPr>
          <w:sz w:val="20"/>
          <w:szCs w:val="20"/>
          <w:color w:val="auto"/>
        </w:rPr>
      </w:pPr>
    </w:p>
    <w:p>
      <w:pPr>
        <w:spacing w:after="0"/>
        <w:tabs>
          <w:tab w:leader="none" w:pos="10080" w:val="left"/>
        </w:tabs>
        <w:rPr>
          <w:sz w:val="20"/>
          <w:szCs w:val="20"/>
          <w:color w:val="auto"/>
        </w:rPr>
      </w:pPr>
      <w:r>
        <w:rPr>
          <w:rFonts w:ascii="Arial" w:cs="Arial" w:eastAsia="Arial" w:hAnsi="Arial"/>
          <w:sz w:val="13"/>
          <w:szCs w:val="13"/>
          <w:b w:val="1"/>
          <w:bCs w:val="1"/>
          <w:color w:val="auto"/>
        </w:rPr>
        <w:t>Director since October 2018</w:t>
      </w:r>
      <w:r>
        <w:rPr>
          <w:sz w:val="20"/>
          <w:szCs w:val="20"/>
          <w:color w:val="auto"/>
        </w:rPr>
        <w:tab/>
      </w:r>
      <w:r>
        <w:rPr>
          <w:rFonts w:ascii="Arial" w:cs="Arial" w:eastAsia="Arial" w:hAnsi="Arial"/>
          <w:sz w:val="12"/>
          <w:szCs w:val="12"/>
          <w:b w:val="1"/>
          <w:bCs w:val="1"/>
          <w:color w:val="479E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876935" cy="26371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76935" cy="2637155"/>
                    </a:xfrm>
                    <a:prstGeom prst="rect">
                      <a:avLst/>
                    </a:prstGeom>
                    <a:noFill/>
                  </pic:spPr>
                </pic:pic>
              </a:graphicData>
            </a:graphic>
          </wp:anchor>
        </w:drawing>
      </w:r>
    </w:p>
    <w:p>
      <w:pPr>
        <w:spacing w:after="0" w:line="161" w:lineRule="exact"/>
        <w:rPr>
          <w:sz w:val="20"/>
          <w:szCs w:val="20"/>
          <w:color w:val="auto"/>
        </w:rPr>
      </w:pPr>
    </w:p>
    <w:p>
      <w:pPr>
        <w:ind w:left="1480" w:right="80"/>
        <w:spacing w:after="0" w:line="236" w:lineRule="auto"/>
        <w:rPr>
          <w:sz w:val="20"/>
          <w:szCs w:val="20"/>
          <w:color w:val="auto"/>
        </w:rPr>
      </w:pPr>
      <w:r>
        <w:rPr>
          <w:rFonts w:ascii="Arial" w:cs="Arial" w:eastAsia="Arial" w:hAnsi="Arial"/>
          <w:sz w:val="13"/>
          <w:szCs w:val="13"/>
          <w:color w:val="auto"/>
        </w:rPr>
        <w:t>Age: 64 — is Chairman and Chief Executive Officer of The Orogen Group, which makes significant long-term strategic investments in financial services companies and related businesses. Mr. Pandit's business experience and directorships are detailed below. Mr. Pandit was appointed to the Board pursuant to the terms of the Investment Agreement. The Company has concluded, based in part on Mr. Pandit's more than 30 years of experience in the financial services industry, including his experience as Chief Executive Officer and a member of the board of directors of Citigroup Inc. (NYSE: C), that Mr. Pandit should serve as a director.</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32"/>
        </w:numPr>
        <w:rPr>
          <w:rFonts w:ascii="Arial" w:cs="Arial" w:eastAsia="Arial" w:hAnsi="Arial"/>
          <w:sz w:val="13"/>
          <w:szCs w:val="13"/>
          <w:color w:val="FF4000"/>
        </w:rPr>
      </w:pPr>
      <w:r>
        <w:rPr>
          <w:rFonts w:ascii="Arial" w:cs="Arial" w:eastAsia="Arial" w:hAnsi="Arial"/>
          <w:sz w:val="13"/>
          <w:szCs w:val="13"/>
          <w:color w:val="auto"/>
        </w:rPr>
        <w:t>Audit; Nominating and Governance</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33"/>
        </w:numPr>
        <w:rPr>
          <w:rFonts w:ascii="Arial" w:cs="Arial" w:eastAsia="Arial" w:hAnsi="Arial"/>
          <w:sz w:val="13"/>
          <w:szCs w:val="13"/>
          <w:color w:val="FF4000"/>
        </w:rPr>
      </w:pPr>
      <w:r>
        <w:rPr>
          <w:rFonts w:ascii="Arial" w:cs="Arial" w:eastAsia="Arial" w:hAnsi="Arial"/>
          <w:sz w:val="13"/>
          <w:szCs w:val="13"/>
          <w:color w:val="auto"/>
        </w:rPr>
        <w:t>Chairman and Chief Executive Officer, The Orogen Group LLC (July 2016 -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33"/>
        </w:numPr>
        <w:rPr>
          <w:rFonts w:ascii="Arial" w:cs="Arial" w:eastAsia="Arial" w:hAnsi="Arial"/>
          <w:sz w:val="13"/>
          <w:szCs w:val="13"/>
          <w:color w:val="FF4000"/>
        </w:rPr>
      </w:pPr>
      <w:r>
        <w:rPr>
          <w:rFonts w:ascii="Arial" w:cs="Arial" w:eastAsia="Arial" w:hAnsi="Arial"/>
          <w:sz w:val="13"/>
          <w:szCs w:val="13"/>
          <w:color w:val="auto"/>
        </w:rPr>
        <w:t>Chairman, TGG Group (February 2014 - June 2016)</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33"/>
        </w:numPr>
        <w:rPr>
          <w:rFonts w:ascii="Arial" w:cs="Arial" w:eastAsia="Arial" w:hAnsi="Arial"/>
          <w:sz w:val="13"/>
          <w:szCs w:val="13"/>
          <w:color w:val="FF4000"/>
        </w:rPr>
      </w:pPr>
      <w:r>
        <w:rPr>
          <w:rFonts w:ascii="Arial" w:cs="Arial" w:eastAsia="Arial" w:hAnsi="Arial"/>
          <w:sz w:val="13"/>
          <w:szCs w:val="13"/>
          <w:color w:val="auto"/>
        </w:rPr>
        <w:t>Chief Executive Officer, Citigroup Inc. (December 2007 - October 2012)</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Public Directorships During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34"/>
        </w:numPr>
        <w:rPr>
          <w:rFonts w:ascii="Arial" w:cs="Arial" w:eastAsia="Arial" w:hAnsi="Arial"/>
          <w:sz w:val="13"/>
          <w:szCs w:val="13"/>
          <w:color w:val="FF4000"/>
        </w:rPr>
      </w:pPr>
      <w:r>
        <w:rPr>
          <w:rFonts w:ascii="Arial" w:cs="Arial" w:eastAsia="Arial" w:hAnsi="Arial"/>
          <w:sz w:val="13"/>
          <w:szCs w:val="13"/>
          <w:color w:val="auto"/>
        </w:rPr>
        <w:t>Director and member of the nominating and governance and finance committees, Virtusa Corporation (NASDAQ: VRTU) (2017 - 2021)</w:t>
      </w:r>
    </w:p>
    <w:p>
      <w:pPr>
        <w:spacing w:after="0" w:line="142" w:lineRule="exact"/>
        <w:rPr>
          <w:rFonts w:ascii="Arial" w:cs="Arial" w:eastAsia="Arial" w:hAnsi="Arial"/>
          <w:sz w:val="13"/>
          <w:szCs w:val="13"/>
          <w:color w:val="FF4000"/>
        </w:rPr>
      </w:pPr>
    </w:p>
    <w:p>
      <w:pPr>
        <w:ind w:left="1740" w:right="360" w:hanging="134"/>
        <w:spacing w:after="0" w:line="239" w:lineRule="auto"/>
        <w:tabs>
          <w:tab w:leader="none" w:pos="1740" w:val="left"/>
        </w:tabs>
        <w:numPr>
          <w:ilvl w:val="0"/>
          <w:numId w:val="34"/>
        </w:numPr>
        <w:rPr>
          <w:rFonts w:ascii="Arial" w:cs="Arial" w:eastAsia="Arial" w:hAnsi="Arial"/>
          <w:sz w:val="13"/>
          <w:szCs w:val="13"/>
          <w:color w:val="FF4000"/>
        </w:rPr>
      </w:pPr>
      <w:r>
        <w:rPr>
          <w:rFonts w:ascii="Arial" w:cs="Arial" w:eastAsia="Arial" w:hAnsi="Arial"/>
          <w:sz w:val="13"/>
          <w:szCs w:val="13"/>
          <w:color w:val="auto"/>
        </w:rPr>
        <w:t>Lead Independent Director, chair of the human resources and compensation committee and member of the corporate governance and nominating committee, former member of the audit committee, Bombardier Inc. (TSX: BBD) (2014 - present)</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35"/>
        </w:numPr>
        <w:rPr>
          <w:rFonts w:ascii="Arial" w:cs="Arial" w:eastAsia="Arial" w:hAnsi="Arial"/>
          <w:sz w:val="13"/>
          <w:szCs w:val="13"/>
          <w:color w:val="FF4000"/>
        </w:rPr>
      </w:pPr>
      <w:r>
        <w:rPr>
          <w:rFonts w:ascii="Arial" w:cs="Arial" w:eastAsia="Arial" w:hAnsi="Arial"/>
          <w:sz w:val="13"/>
          <w:szCs w:val="13"/>
          <w:color w:val="auto"/>
        </w:rPr>
        <w:t>Director, Citigroup Inc. (December 2007 - October 2012)</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35"/>
        </w:numPr>
        <w:rPr>
          <w:rFonts w:ascii="Arial" w:cs="Arial" w:eastAsia="Arial" w:hAnsi="Arial"/>
          <w:sz w:val="13"/>
          <w:szCs w:val="13"/>
          <w:color w:val="FF4000"/>
        </w:rPr>
      </w:pPr>
      <w:r>
        <w:rPr>
          <w:rFonts w:ascii="Arial" w:cs="Arial" w:eastAsia="Arial" w:hAnsi="Arial"/>
          <w:sz w:val="13"/>
          <w:szCs w:val="13"/>
          <w:color w:val="auto"/>
        </w:rPr>
        <w:t>Chairman, Fair Square Financial Holdings (2017 -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35"/>
        </w:numPr>
        <w:rPr>
          <w:rFonts w:ascii="Arial" w:cs="Arial" w:eastAsia="Arial" w:hAnsi="Arial"/>
          <w:sz w:val="13"/>
          <w:szCs w:val="13"/>
          <w:color w:val="FF4000"/>
        </w:rPr>
      </w:pPr>
      <w:r>
        <w:rPr>
          <w:rFonts w:ascii="Arial" w:cs="Arial" w:eastAsia="Arial" w:hAnsi="Arial"/>
          <w:sz w:val="13"/>
          <w:szCs w:val="13"/>
          <w:color w:val="auto"/>
        </w:rPr>
        <w:t>Director, Westcor Land Title Insurance Company (2020 -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35"/>
        </w:numPr>
        <w:rPr>
          <w:rFonts w:ascii="Arial" w:cs="Arial" w:eastAsia="Arial" w:hAnsi="Arial"/>
          <w:sz w:val="13"/>
          <w:szCs w:val="13"/>
          <w:color w:val="FF4000"/>
        </w:rPr>
      </w:pPr>
      <w:r>
        <w:rPr>
          <w:rFonts w:ascii="Arial" w:cs="Arial" w:eastAsia="Arial" w:hAnsi="Arial"/>
          <w:sz w:val="13"/>
          <w:szCs w:val="13"/>
          <w:color w:val="auto"/>
        </w:rPr>
        <w:t>Chairman, JM Financial Credit Solutions Ltd. (2014 -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35"/>
        </w:numPr>
        <w:rPr>
          <w:rFonts w:ascii="Arial" w:cs="Arial" w:eastAsia="Arial" w:hAnsi="Arial"/>
          <w:sz w:val="13"/>
          <w:szCs w:val="13"/>
          <w:color w:val="FF4000"/>
        </w:rPr>
      </w:pPr>
      <w:r>
        <w:rPr>
          <w:rFonts w:ascii="Arial" w:cs="Arial" w:eastAsia="Arial" w:hAnsi="Arial"/>
          <w:sz w:val="13"/>
          <w:szCs w:val="13"/>
          <w:color w:val="auto"/>
        </w:rPr>
        <w:t>Member of the Board of Overseers of Columbia Business School</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35"/>
        </w:numPr>
        <w:rPr>
          <w:rFonts w:ascii="Arial" w:cs="Arial" w:eastAsia="Arial" w:hAnsi="Arial"/>
          <w:sz w:val="13"/>
          <w:szCs w:val="13"/>
          <w:color w:val="FF4000"/>
        </w:rPr>
      </w:pPr>
      <w:r>
        <w:rPr>
          <w:rFonts w:ascii="Arial" w:cs="Arial" w:eastAsia="Arial" w:hAnsi="Arial"/>
          <w:sz w:val="13"/>
          <w:szCs w:val="13"/>
          <w:color w:val="auto"/>
        </w:rPr>
        <w:t>Member of the Board of Visitors of Columbia School of Engineering</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35"/>
        </w:numPr>
        <w:rPr>
          <w:rFonts w:ascii="Arial" w:cs="Arial" w:eastAsia="Arial" w:hAnsi="Arial"/>
          <w:sz w:val="13"/>
          <w:szCs w:val="13"/>
          <w:color w:val="FF4000"/>
        </w:rPr>
      </w:pPr>
      <w:r>
        <w:rPr>
          <w:rFonts w:ascii="Arial" w:cs="Arial" w:eastAsia="Arial" w:hAnsi="Arial"/>
          <w:sz w:val="13"/>
          <w:szCs w:val="13"/>
          <w:color w:val="auto"/>
        </w:rPr>
        <w:t>Member of the Board of Trustees of Columbia Business School until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70420"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0420" cy="1841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212725</wp:posOffset>
            </wp:positionV>
            <wp:extent cx="1408430" cy="3333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3517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0420" cy="3517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479EFF"/>
        </w:rPr>
        <w:t>Kristy Pipes</w:t>
      </w:r>
    </w:p>
    <w:p>
      <w:pPr>
        <w:spacing w:after="0" w:line="24" w:lineRule="exact"/>
        <w:rPr>
          <w:sz w:val="20"/>
          <w:szCs w:val="20"/>
          <w:color w:val="auto"/>
        </w:rPr>
      </w:pPr>
    </w:p>
    <w:p>
      <w:pPr>
        <w:spacing w:after="0"/>
        <w:tabs>
          <w:tab w:leader="none" w:pos="10080" w:val="left"/>
        </w:tabs>
        <w:rPr>
          <w:sz w:val="20"/>
          <w:szCs w:val="20"/>
          <w:color w:val="auto"/>
        </w:rPr>
      </w:pPr>
      <w:r>
        <w:rPr>
          <w:rFonts w:ascii="Arial" w:cs="Arial" w:eastAsia="Arial" w:hAnsi="Arial"/>
          <w:sz w:val="13"/>
          <w:szCs w:val="13"/>
          <w:b w:val="1"/>
          <w:bCs w:val="1"/>
          <w:color w:val="auto"/>
        </w:rPr>
        <w:t>Director since January 2021</w:t>
      </w:r>
      <w:r>
        <w:rPr>
          <w:sz w:val="20"/>
          <w:szCs w:val="20"/>
          <w:color w:val="auto"/>
        </w:rPr>
        <w:tab/>
      </w:r>
      <w:r>
        <w:rPr>
          <w:rFonts w:ascii="Arial" w:cs="Arial" w:eastAsia="Arial" w:hAnsi="Arial"/>
          <w:sz w:val="12"/>
          <w:szCs w:val="12"/>
          <w:b w:val="1"/>
          <w:bCs w:val="1"/>
          <w:color w:val="479E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183120" cy="2464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3120" cy="2464435"/>
                    </a:xfrm>
                    <a:prstGeom prst="rect">
                      <a:avLst/>
                    </a:prstGeom>
                    <a:noFill/>
                  </pic:spPr>
                </pic:pic>
              </a:graphicData>
            </a:graphic>
          </wp:anchor>
        </w:drawing>
      </w:r>
    </w:p>
    <w:p>
      <w:pPr>
        <w:spacing w:after="0" w:line="161" w:lineRule="exact"/>
        <w:rPr>
          <w:sz w:val="20"/>
          <w:szCs w:val="20"/>
          <w:color w:val="auto"/>
        </w:rPr>
      </w:pPr>
    </w:p>
    <w:p>
      <w:pPr>
        <w:jc w:val="both"/>
        <w:ind w:left="1480" w:right="140"/>
        <w:spacing w:after="0" w:line="237" w:lineRule="auto"/>
        <w:rPr>
          <w:sz w:val="20"/>
          <w:szCs w:val="20"/>
          <w:color w:val="auto"/>
        </w:rPr>
      </w:pPr>
      <w:r>
        <w:rPr>
          <w:rFonts w:ascii="Arial" w:cs="Arial" w:eastAsia="Arial" w:hAnsi="Arial"/>
          <w:sz w:val="13"/>
          <w:szCs w:val="13"/>
          <w:color w:val="auto"/>
        </w:rPr>
        <w:t>Age: 61 — is a leader in the consulting and financial services industry. Ms. Pipes's business experience and directorships are detailed below. The Company has concluded, based in part on Ms. Pipes's experience as the Chief Financial Officer and as a member of the Management Committee of Deloitte Consulting, LLP and her expertise in the consulting and financial services industry that Ms. Pipes should serve as a director.</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Committees:</w:t>
      </w:r>
    </w:p>
    <w:p>
      <w:pPr>
        <w:spacing w:after="0" w:line="246" w:lineRule="exact"/>
        <w:rPr>
          <w:sz w:val="20"/>
          <w:szCs w:val="20"/>
          <w:color w:val="auto"/>
        </w:rPr>
      </w:pPr>
    </w:p>
    <w:p>
      <w:pPr>
        <w:ind w:left="1740" w:hanging="134"/>
        <w:spacing w:after="0"/>
        <w:tabs>
          <w:tab w:leader="none" w:pos="1740" w:val="left"/>
        </w:tabs>
        <w:numPr>
          <w:ilvl w:val="0"/>
          <w:numId w:val="36"/>
        </w:numPr>
        <w:rPr>
          <w:rFonts w:ascii="Arial" w:cs="Arial" w:eastAsia="Arial" w:hAnsi="Arial"/>
          <w:sz w:val="13"/>
          <w:szCs w:val="13"/>
          <w:color w:val="FF4000"/>
        </w:rPr>
      </w:pPr>
      <w:r>
        <w:rPr>
          <w:rFonts w:ascii="Arial" w:cs="Arial" w:eastAsia="Arial" w:hAnsi="Arial"/>
          <w:sz w:val="13"/>
          <w:szCs w:val="13"/>
          <w:color w:val="auto"/>
        </w:rPr>
        <w:t>Audit; Compensation</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Business Experience</w:t>
      </w:r>
    </w:p>
    <w:p>
      <w:pPr>
        <w:spacing w:after="0" w:line="246" w:lineRule="exact"/>
        <w:rPr>
          <w:sz w:val="20"/>
          <w:szCs w:val="20"/>
          <w:color w:val="auto"/>
        </w:rPr>
      </w:pPr>
    </w:p>
    <w:p>
      <w:pPr>
        <w:ind w:left="1740" w:hanging="134"/>
        <w:spacing w:after="0"/>
        <w:tabs>
          <w:tab w:leader="none" w:pos="1740" w:val="left"/>
        </w:tabs>
        <w:numPr>
          <w:ilvl w:val="0"/>
          <w:numId w:val="37"/>
        </w:numPr>
        <w:rPr>
          <w:rFonts w:ascii="Arial" w:cs="Arial" w:eastAsia="Arial" w:hAnsi="Arial"/>
          <w:sz w:val="12"/>
          <w:szCs w:val="12"/>
          <w:color w:val="FF4000"/>
        </w:rPr>
      </w:pPr>
      <w:r>
        <w:rPr>
          <w:rFonts w:ascii="Arial" w:cs="Arial" w:eastAsia="Arial" w:hAnsi="Arial"/>
          <w:sz w:val="12"/>
          <w:szCs w:val="12"/>
          <w:color w:val="auto"/>
        </w:rPr>
        <w:t>Chief Financial Officer, member of the Management Committee and various leadership positions, Deloitte Consulting LLP, a management consulting firm (1999 - 2019)</w:t>
      </w:r>
    </w:p>
    <w:p>
      <w:pPr>
        <w:spacing w:after="0" w:line="153" w:lineRule="exact"/>
        <w:rPr>
          <w:rFonts w:ascii="Arial" w:cs="Arial" w:eastAsia="Arial" w:hAnsi="Arial"/>
          <w:sz w:val="12"/>
          <w:szCs w:val="12"/>
          <w:color w:val="FF4000"/>
        </w:rPr>
      </w:pPr>
    </w:p>
    <w:p>
      <w:pPr>
        <w:ind w:left="1740" w:hanging="134"/>
        <w:spacing w:after="0"/>
        <w:tabs>
          <w:tab w:leader="none" w:pos="1740" w:val="left"/>
        </w:tabs>
        <w:numPr>
          <w:ilvl w:val="0"/>
          <w:numId w:val="37"/>
        </w:numPr>
        <w:rPr>
          <w:rFonts w:ascii="Arial" w:cs="Arial" w:eastAsia="Arial" w:hAnsi="Arial"/>
          <w:sz w:val="13"/>
          <w:szCs w:val="13"/>
          <w:color w:val="FF4000"/>
        </w:rPr>
      </w:pPr>
      <w:r>
        <w:rPr>
          <w:rFonts w:ascii="Arial" w:cs="Arial" w:eastAsia="Arial" w:hAnsi="Arial"/>
          <w:sz w:val="13"/>
          <w:szCs w:val="13"/>
          <w:color w:val="auto"/>
        </w:rPr>
        <w:t>Vice President and Manager, Finance Division, Transamerica Life Companies (1997 - 1999)</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37"/>
        </w:numPr>
        <w:rPr>
          <w:rFonts w:ascii="Arial" w:cs="Arial" w:eastAsia="Arial" w:hAnsi="Arial"/>
          <w:sz w:val="13"/>
          <w:szCs w:val="13"/>
          <w:color w:val="FF4000"/>
        </w:rPr>
      </w:pPr>
      <w:r>
        <w:rPr>
          <w:rFonts w:ascii="Arial" w:cs="Arial" w:eastAsia="Arial" w:hAnsi="Arial"/>
          <w:sz w:val="13"/>
          <w:szCs w:val="13"/>
          <w:color w:val="auto"/>
        </w:rPr>
        <w:t>Senior Vice President and Chief of Staff for the President and CEO, among other senior management positions, First Interstate Bank of California (1985 - 1996)</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Public Directorships During Past Five Years</w:t>
      </w:r>
    </w:p>
    <w:p>
      <w:pPr>
        <w:spacing w:after="0" w:line="246" w:lineRule="exact"/>
        <w:rPr>
          <w:sz w:val="20"/>
          <w:szCs w:val="20"/>
          <w:color w:val="auto"/>
        </w:rPr>
      </w:pPr>
    </w:p>
    <w:p>
      <w:pPr>
        <w:ind w:left="1740" w:hanging="134"/>
        <w:spacing w:after="0" w:line="239" w:lineRule="auto"/>
        <w:tabs>
          <w:tab w:leader="none" w:pos="1740" w:val="left"/>
        </w:tabs>
        <w:numPr>
          <w:ilvl w:val="1"/>
          <w:numId w:val="38"/>
        </w:numPr>
        <w:rPr>
          <w:rFonts w:ascii="Arial" w:cs="Arial" w:eastAsia="Arial" w:hAnsi="Arial"/>
          <w:sz w:val="13"/>
          <w:szCs w:val="13"/>
          <w:color w:val="FF4000"/>
        </w:rPr>
      </w:pPr>
      <w:r>
        <w:rPr>
          <w:rFonts w:ascii="Arial" w:cs="Arial" w:eastAsia="Arial" w:hAnsi="Arial"/>
          <w:sz w:val="13"/>
          <w:szCs w:val="13"/>
          <w:color w:val="auto"/>
        </w:rPr>
        <w:t>Director and chair of the audit committee, and member of the nominating/corporate governance committee, PS Business Parks, Inc. (NYSE: PSB), a commercial property real estate investment trust (2019 - present)</w:t>
      </w:r>
    </w:p>
    <w:p>
      <w:pPr>
        <w:spacing w:after="0" w:line="139" w:lineRule="exact"/>
        <w:rPr>
          <w:rFonts w:ascii="Arial" w:cs="Arial" w:eastAsia="Arial" w:hAnsi="Arial"/>
          <w:sz w:val="13"/>
          <w:szCs w:val="13"/>
          <w:color w:val="FF4000"/>
        </w:rPr>
      </w:pPr>
    </w:p>
    <w:p>
      <w:pPr>
        <w:ind w:left="1740" w:right="260" w:hanging="134"/>
        <w:spacing w:after="0" w:line="239" w:lineRule="auto"/>
        <w:tabs>
          <w:tab w:leader="none" w:pos="1740" w:val="left"/>
        </w:tabs>
        <w:numPr>
          <w:ilvl w:val="1"/>
          <w:numId w:val="38"/>
        </w:numPr>
        <w:rPr>
          <w:rFonts w:ascii="Arial" w:cs="Arial" w:eastAsia="Arial" w:hAnsi="Arial"/>
          <w:sz w:val="13"/>
          <w:szCs w:val="13"/>
          <w:color w:val="FF4000"/>
        </w:rPr>
      </w:pPr>
      <w:r>
        <w:rPr>
          <w:rFonts w:ascii="Arial" w:cs="Arial" w:eastAsia="Arial" w:hAnsi="Arial"/>
          <w:sz w:val="13"/>
          <w:szCs w:val="13"/>
          <w:color w:val="auto"/>
        </w:rPr>
        <w:t>Director and chair of the audit committee, and member of the nominating/corporate governance committee, Public Storage (NYSE: PSA) an international self storage company (2020 - present)</w:t>
      </w:r>
    </w:p>
    <w:p>
      <w:pPr>
        <w:spacing w:after="0" w:line="384" w:lineRule="exact"/>
        <w:rPr>
          <w:rFonts w:ascii="Arial" w:cs="Arial" w:eastAsia="Arial" w:hAnsi="Arial"/>
          <w:sz w:val="13"/>
          <w:szCs w:val="13"/>
          <w:color w:val="FF4000"/>
        </w:rPr>
      </w:pPr>
    </w:p>
    <w:p>
      <w:pPr>
        <w:spacing w:after="0"/>
        <w:rPr>
          <w:rFonts w:ascii="Arial" w:cs="Arial" w:eastAsia="Arial" w:hAnsi="Arial"/>
          <w:sz w:val="13"/>
          <w:szCs w:val="13"/>
          <w:color w:val="FF4000"/>
        </w:rPr>
      </w:pPr>
      <w:r>
        <w:rPr>
          <w:rFonts w:ascii="Arial" w:cs="Arial" w:eastAsia="Arial" w:hAnsi="Arial"/>
          <w:sz w:val="10"/>
          <w:szCs w:val="10"/>
          <w:color w:val="auto"/>
        </w:rPr>
        <w:t>* Audit committee financial expert under applicable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196850</wp:posOffset>
            </wp:positionV>
            <wp:extent cx="1408430" cy="3333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3517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0420" cy="3517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479EFF"/>
        </w:rPr>
        <w:t>Nitin Sahney</w:t>
      </w:r>
    </w:p>
    <w:p>
      <w:pPr>
        <w:spacing w:after="0" w:line="24" w:lineRule="exact"/>
        <w:rPr>
          <w:sz w:val="20"/>
          <w:szCs w:val="20"/>
          <w:color w:val="auto"/>
        </w:rPr>
      </w:pPr>
    </w:p>
    <w:p>
      <w:pPr>
        <w:spacing w:after="0"/>
        <w:tabs>
          <w:tab w:leader="none" w:pos="10080" w:val="left"/>
        </w:tabs>
        <w:rPr>
          <w:sz w:val="20"/>
          <w:szCs w:val="20"/>
          <w:color w:val="auto"/>
        </w:rPr>
      </w:pPr>
      <w:r>
        <w:rPr>
          <w:rFonts w:ascii="Arial" w:cs="Arial" w:eastAsia="Arial" w:hAnsi="Arial"/>
          <w:sz w:val="13"/>
          <w:szCs w:val="13"/>
          <w:b w:val="1"/>
          <w:bCs w:val="1"/>
          <w:color w:val="auto"/>
        </w:rPr>
        <w:t>Director since January 2016</w:t>
      </w:r>
      <w:r>
        <w:rPr>
          <w:sz w:val="20"/>
          <w:szCs w:val="20"/>
          <w:color w:val="auto"/>
        </w:rPr>
        <w:tab/>
      </w:r>
      <w:r>
        <w:rPr>
          <w:rFonts w:ascii="Arial" w:cs="Arial" w:eastAsia="Arial" w:hAnsi="Arial"/>
          <w:sz w:val="12"/>
          <w:szCs w:val="12"/>
          <w:b w:val="1"/>
          <w:bCs w:val="1"/>
          <w:color w:val="479E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876935" cy="20440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76935" cy="2044065"/>
                    </a:xfrm>
                    <a:prstGeom prst="rect">
                      <a:avLst/>
                    </a:prstGeom>
                    <a:noFill/>
                  </pic:spPr>
                </pic:pic>
              </a:graphicData>
            </a:graphic>
          </wp:anchor>
        </w:drawing>
      </w:r>
    </w:p>
    <w:p>
      <w:pPr>
        <w:spacing w:after="0" w:line="161" w:lineRule="exact"/>
        <w:rPr>
          <w:sz w:val="20"/>
          <w:szCs w:val="20"/>
          <w:color w:val="auto"/>
        </w:rPr>
      </w:pPr>
    </w:p>
    <w:p>
      <w:pPr>
        <w:ind w:left="1480" w:right="40"/>
        <w:spacing w:after="0" w:line="237" w:lineRule="auto"/>
        <w:rPr>
          <w:sz w:val="20"/>
          <w:szCs w:val="20"/>
          <w:color w:val="auto"/>
        </w:rPr>
      </w:pPr>
      <w:r>
        <w:rPr>
          <w:rFonts w:ascii="Arial" w:cs="Arial" w:eastAsia="Arial" w:hAnsi="Arial"/>
          <w:sz w:val="13"/>
          <w:szCs w:val="13"/>
          <w:color w:val="auto"/>
        </w:rPr>
        <w:t>Age: 58 — Is a leader in the healthcare industry with over 25 years of experience across all areas of healthcare. Mr. Sahney's business experience and directorships are detailed below. The Company has concluded, based in part on Mr. Sahney's experience as CEO of Pharmacord and Omnicare, Inc. and his expertise in the healthcare industry garnered from more than two decades of experience, that Mr. Sahney should serve as a director.</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39"/>
        </w:numPr>
        <w:rPr>
          <w:rFonts w:ascii="Arial" w:cs="Arial" w:eastAsia="Arial" w:hAnsi="Arial"/>
          <w:sz w:val="13"/>
          <w:szCs w:val="13"/>
          <w:color w:val="FF4000"/>
        </w:rPr>
      </w:pPr>
      <w:r>
        <w:rPr>
          <w:rFonts w:ascii="Arial" w:cs="Arial" w:eastAsia="Arial" w:hAnsi="Arial"/>
          <w:sz w:val="13"/>
          <w:szCs w:val="13"/>
          <w:color w:val="auto"/>
        </w:rPr>
        <w:t>Nominating and Governance (Chair), Audit</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right="840" w:hanging="134"/>
        <w:spacing w:after="0" w:line="239" w:lineRule="auto"/>
        <w:tabs>
          <w:tab w:leader="none" w:pos="1740" w:val="left"/>
        </w:tabs>
        <w:numPr>
          <w:ilvl w:val="0"/>
          <w:numId w:val="40"/>
        </w:numPr>
        <w:rPr>
          <w:rFonts w:ascii="Arial" w:cs="Arial" w:eastAsia="Arial" w:hAnsi="Arial"/>
          <w:sz w:val="13"/>
          <w:szCs w:val="13"/>
          <w:color w:val="FF4000"/>
        </w:rPr>
      </w:pPr>
      <w:r>
        <w:rPr>
          <w:rFonts w:ascii="Arial" w:cs="Arial" w:eastAsia="Arial" w:hAnsi="Arial"/>
          <w:sz w:val="13"/>
          <w:szCs w:val="13"/>
          <w:color w:val="auto"/>
        </w:rPr>
        <w:t>Founder, Member-Manager and Chief Executive Officer, Pharmacord, LLC, a company that helps biopharma manufacturers address product access hurdles (2016 - present)</w:t>
      </w:r>
    </w:p>
    <w:p>
      <w:pPr>
        <w:spacing w:after="0" w:line="139" w:lineRule="exact"/>
        <w:rPr>
          <w:rFonts w:ascii="Arial" w:cs="Arial" w:eastAsia="Arial" w:hAnsi="Arial"/>
          <w:sz w:val="13"/>
          <w:szCs w:val="13"/>
          <w:color w:val="FF4000"/>
        </w:rPr>
      </w:pPr>
    </w:p>
    <w:p>
      <w:pPr>
        <w:ind w:left="1740" w:hanging="134"/>
        <w:spacing w:after="0"/>
        <w:tabs>
          <w:tab w:leader="none" w:pos="1740" w:val="left"/>
        </w:tabs>
        <w:numPr>
          <w:ilvl w:val="0"/>
          <w:numId w:val="40"/>
        </w:numPr>
        <w:rPr>
          <w:rFonts w:ascii="Arial" w:cs="Arial" w:eastAsia="Arial" w:hAnsi="Arial"/>
          <w:sz w:val="13"/>
          <w:szCs w:val="13"/>
          <w:color w:val="FF4000"/>
        </w:rPr>
      </w:pPr>
      <w:r>
        <w:rPr>
          <w:rFonts w:ascii="Arial" w:cs="Arial" w:eastAsia="Arial" w:hAnsi="Arial"/>
          <w:sz w:val="13"/>
          <w:szCs w:val="13"/>
          <w:color w:val="auto"/>
        </w:rPr>
        <w:t>Operating Advisor, Clayton Dubilier &amp; Rice Funds, a private equity firm (2016 - 2017)</w:t>
      </w:r>
    </w:p>
    <w:p>
      <w:pPr>
        <w:spacing w:after="0" w:line="142" w:lineRule="exact"/>
        <w:rPr>
          <w:rFonts w:ascii="Arial" w:cs="Arial" w:eastAsia="Arial" w:hAnsi="Arial"/>
          <w:sz w:val="13"/>
          <w:szCs w:val="13"/>
          <w:color w:val="FF4000"/>
        </w:rPr>
      </w:pPr>
    </w:p>
    <w:p>
      <w:pPr>
        <w:ind w:left="1740" w:right="220" w:hanging="134"/>
        <w:spacing w:after="0" w:line="239" w:lineRule="auto"/>
        <w:tabs>
          <w:tab w:leader="none" w:pos="1740" w:val="left"/>
        </w:tabs>
        <w:numPr>
          <w:ilvl w:val="0"/>
          <w:numId w:val="40"/>
        </w:numPr>
        <w:rPr>
          <w:rFonts w:ascii="Arial" w:cs="Arial" w:eastAsia="Arial" w:hAnsi="Arial"/>
          <w:sz w:val="13"/>
          <w:szCs w:val="13"/>
          <w:color w:val="FF4000"/>
        </w:rPr>
      </w:pPr>
      <w:r>
        <w:rPr>
          <w:rFonts w:ascii="Arial" w:cs="Arial" w:eastAsia="Arial" w:hAnsi="Arial"/>
          <w:sz w:val="13"/>
          <w:szCs w:val="13"/>
          <w:color w:val="auto"/>
        </w:rPr>
        <w:t>President and CEO (2014 - 2015) and President and COO (2012 - 2014) of Omnicare Inc., a former New York Stock Exchange-listed Fortune 500 company in the long-term care and specialty care industries</w:t>
      </w:r>
    </w:p>
    <w:p>
      <w:pPr>
        <w:spacing w:after="0" w:line="139" w:lineRule="exact"/>
        <w:rPr>
          <w:rFonts w:ascii="Arial" w:cs="Arial" w:eastAsia="Arial" w:hAnsi="Arial"/>
          <w:sz w:val="13"/>
          <w:szCs w:val="13"/>
          <w:color w:val="FF4000"/>
        </w:rPr>
      </w:pPr>
    </w:p>
    <w:p>
      <w:pPr>
        <w:ind w:left="1740" w:hanging="134"/>
        <w:spacing w:after="0"/>
        <w:tabs>
          <w:tab w:leader="none" w:pos="1740" w:val="left"/>
        </w:tabs>
        <w:numPr>
          <w:ilvl w:val="0"/>
          <w:numId w:val="40"/>
        </w:numPr>
        <w:rPr>
          <w:rFonts w:ascii="Arial" w:cs="Arial" w:eastAsia="Arial" w:hAnsi="Arial"/>
          <w:sz w:val="13"/>
          <w:szCs w:val="13"/>
          <w:color w:val="FF4000"/>
        </w:rPr>
      </w:pPr>
      <w:r>
        <w:rPr>
          <w:rFonts w:ascii="Arial" w:cs="Arial" w:eastAsia="Arial" w:hAnsi="Arial"/>
          <w:sz w:val="13"/>
          <w:szCs w:val="13"/>
          <w:color w:val="auto"/>
        </w:rPr>
        <w:t>Manager of a healthcare investment fund (2008 - 2010)</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40"/>
        </w:numPr>
        <w:rPr>
          <w:rFonts w:ascii="Arial" w:cs="Arial" w:eastAsia="Arial" w:hAnsi="Arial"/>
          <w:sz w:val="13"/>
          <w:szCs w:val="13"/>
          <w:color w:val="FF4000"/>
        </w:rPr>
      </w:pPr>
      <w:r>
        <w:rPr>
          <w:rFonts w:ascii="Arial" w:cs="Arial" w:eastAsia="Arial" w:hAnsi="Arial"/>
          <w:sz w:val="13"/>
          <w:szCs w:val="13"/>
          <w:color w:val="auto"/>
        </w:rPr>
        <w:t>Founder and CEO of RxCrossroads, a specialty pharmaceutical company (2001 - 2007)</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40"/>
        </w:numPr>
        <w:rPr>
          <w:rFonts w:ascii="Arial" w:cs="Arial" w:eastAsia="Arial" w:hAnsi="Arial"/>
          <w:sz w:val="13"/>
          <w:szCs w:val="13"/>
          <w:color w:val="FF4000"/>
        </w:rPr>
      </w:pPr>
      <w:r>
        <w:rPr>
          <w:rFonts w:ascii="Arial" w:cs="Arial" w:eastAsia="Arial" w:hAnsi="Arial"/>
          <w:sz w:val="13"/>
          <w:szCs w:val="13"/>
          <w:color w:val="auto"/>
        </w:rPr>
        <w:t>Prior leadership positions with Cardinal Healthcare, a global healthcare services and products company</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Public Directorships During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41"/>
        </w:numPr>
        <w:rPr>
          <w:rFonts w:ascii="Arial" w:cs="Arial" w:eastAsia="Arial" w:hAnsi="Arial"/>
          <w:sz w:val="13"/>
          <w:szCs w:val="13"/>
          <w:color w:val="FF4000"/>
        </w:rPr>
      </w:pPr>
      <w:r>
        <w:rPr>
          <w:rFonts w:ascii="Arial" w:cs="Arial" w:eastAsia="Arial" w:hAnsi="Arial"/>
          <w:sz w:val="13"/>
          <w:szCs w:val="13"/>
          <w:color w:val="auto"/>
        </w:rPr>
        <w:t>Director, Option Care Enterprises, Inc. (NASDAQ: OPCH) (2019 - present)</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42"/>
        </w:numPr>
        <w:rPr>
          <w:rFonts w:ascii="Arial" w:cs="Arial" w:eastAsia="Arial" w:hAnsi="Arial"/>
          <w:sz w:val="13"/>
          <w:szCs w:val="13"/>
          <w:color w:val="FF4000"/>
        </w:rPr>
      </w:pPr>
      <w:r>
        <w:rPr>
          <w:rFonts w:ascii="Arial" w:cs="Arial" w:eastAsia="Arial" w:hAnsi="Arial"/>
          <w:sz w:val="13"/>
          <w:szCs w:val="13"/>
          <w:color w:val="auto"/>
        </w:rPr>
        <w:t>Member of the Board of Trustees, University of Louisville (2017 - 2019)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70420"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0420" cy="1841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212725</wp:posOffset>
            </wp:positionV>
            <wp:extent cx="1408430" cy="3333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3517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0420" cy="3517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479EFF"/>
        </w:rPr>
        <w:t>Garen K. Staglin</w:t>
      </w:r>
    </w:p>
    <w:p>
      <w:pPr>
        <w:spacing w:after="0" w:line="24" w:lineRule="exact"/>
        <w:rPr>
          <w:sz w:val="20"/>
          <w:szCs w:val="20"/>
          <w:color w:val="auto"/>
        </w:rPr>
      </w:pPr>
    </w:p>
    <w:p>
      <w:pPr>
        <w:spacing w:after="0"/>
        <w:tabs>
          <w:tab w:leader="none" w:pos="1600" w:val="left"/>
          <w:tab w:leader="none" w:pos="1780" w:val="left"/>
          <w:tab w:leader="none" w:pos="10080" w:val="left"/>
        </w:tabs>
        <w:rPr>
          <w:sz w:val="20"/>
          <w:szCs w:val="20"/>
          <w:color w:val="auto"/>
        </w:rPr>
      </w:pPr>
      <w:r>
        <w:rPr>
          <w:rFonts w:ascii="Arial" w:cs="Arial" w:eastAsia="Arial" w:hAnsi="Arial"/>
          <w:sz w:val="13"/>
          <w:szCs w:val="13"/>
          <w:b w:val="1"/>
          <w:bCs w:val="1"/>
          <w:color w:val="auto"/>
        </w:rPr>
        <w:t>Director since June 2005</w:t>
        <w:tab/>
        <w:t>|</w:t>
        <w:tab/>
        <w:t>Chairman of the Board since February 2014</w:t>
      </w:r>
      <w:r>
        <w:rPr>
          <w:sz w:val="20"/>
          <w:szCs w:val="20"/>
          <w:color w:val="auto"/>
        </w:rPr>
        <w:tab/>
      </w:r>
      <w:r>
        <w:rPr>
          <w:rFonts w:ascii="Arial" w:cs="Arial" w:eastAsia="Arial" w:hAnsi="Arial"/>
          <w:sz w:val="12"/>
          <w:szCs w:val="12"/>
          <w:b w:val="1"/>
          <w:bCs w:val="1"/>
          <w:color w:val="479E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876935" cy="2446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76935" cy="2446020"/>
                    </a:xfrm>
                    <a:prstGeom prst="rect">
                      <a:avLst/>
                    </a:prstGeom>
                    <a:noFill/>
                  </pic:spPr>
                </pic:pic>
              </a:graphicData>
            </a:graphic>
          </wp:anchor>
        </w:drawing>
      </w:r>
    </w:p>
    <w:p>
      <w:pPr>
        <w:spacing w:after="0" w:line="161" w:lineRule="exact"/>
        <w:rPr>
          <w:sz w:val="20"/>
          <w:szCs w:val="20"/>
          <w:color w:val="auto"/>
        </w:rPr>
      </w:pPr>
    </w:p>
    <w:p>
      <w:pPr>
        <w:ind w:left="1480"/>
        <w:spacing w:after="0" w:line="237" w:lineRule="auto"/>
        <w:rPr>
          <w:sz w:val="20"/>
          <w:szCs w:val="20"/>
          <w:color w:val="auto"/>
        </w:rPr>
      </w:pPr>
      <w:r>
        <w:rPr>
          <w:rFonts w:ascii="Arial" w:cs="Arial" w:eastAsia="Arial" w:hAnsi="Arial"/>
          <w:sz w:val="13"/>
          <w:szCs w:val="13"/>
          <w:color w:val="auto"/>
        </w:rPr>
        <w:t>Age: 76 — has over 45 years of experience in the financial services and technology industries. Mr. Staglin's business experience and directorships are detailed below. The Company has concluded, based in part on Mr. Staglin's experience in the financial services and technology industries and his past experience as a member of public company boards of directors, that Mr. Staglin should serve as a director.</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43"/>
        </w:numPr>
        <w:rPr>
          <w:rFonts w:ascii="Arial" w:cs="Arial" w:eastAsia="Arial" w:hAnsi="Arial"/>
          <w:sz w:val="13"/>
          <w:szCs w:val="13"/>
          <w:color w:val="FF4000"/>
        </w:rPr>
      </w:pPr>
      <w:r>
        <w:rPr>
          <w:rFonts w:ascii="Arial" w:cs="Arial" w:eastAsia="Arial" w:hAnsi="Arial"/>
          <w:sz w:val="13"/>
          <w:szCs w:val="13"/>
          <w:color w:val="auto"/>
        </w:rPr>
        <w:t>Compensation, Nominating and Governance</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44"/>
        </w:numPr>
        <w:rPr>
          <w:rFonts w:ascii="Arial" w:cs="Arial" w:eastAsia="Arial" w:hAnsi="Arial"/>
          <w:sz w:val="13"/>
          <w:szCs w:val="13"/>
          <w:color w:val="FF4000"/>
        </w:rPr>
      </w:pPr>
      <w:r>
        <w:rPr>
          <w:rFonts w:ascii="Arial" w:cs="Arial" w:eastAsia="Arial" w:hAnsi="Arial"/>
          <w:sz w:val="13"/>
          <w:szCs w:val="13"/>
          <w:color w:val="auto"/>
        </w:rPr>
        <w:t>Chief Executive Officer of eONE Global LP, an emerging payments company (2001 - 2004)</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44"/>
        </w:numPr>
        <w:rPr>
          <w:rFonts w:ascii="Arial" w:cs="Arial" w:eastAsia="Arial" w:hAnsi="Arial"/>
          <w:sz w:val="13"/>
          <w:szCs w:val="13"/>
          <w:color w:val="FF4000"/>
        </w:rPr>
      </w:pPr>
      <w:r>
        <w:rPr>
          <w:rFonts w:ascii="Arial" w:cs="Arial" w:eastAsia="Arial" w:hAnsi="Arial"/>
          <w:sz w:val="13"/>
          <w:szCs w:val="13"/>
          <w:color w:val="auto"/>
        </w:rPr>
        <w:t>Chief Executive Officer of Safelite Auto Glass, a provider of glass claim solutions (1993 - 1999)</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Public Directorships During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right="480" w:hanging="134"/>
        <w:spacing w:after="0" w:line="239" w:lineRule="auto"/>
        <w:tabs>
          <w:tab w:leader="none" w:pos="1740" w:val="left"/>
        </w:tabs>
        <w:numPr>
          <w:ilvl w:val="0"/>
          <w:numId w:val="45"/>
        </w:numPr>
        <w:rPr>
          <w:rFonts w:ascii="Arial" w:cs="Arial" w:eastAsia="Arial" w:hAnsi="Arial"/>
          <w:sz w:val="13"/>
          <w:szCs w:val="13"/>
          <w:color w:val="FF4000"/>
        </w:rPr>
      </w:pPr>
      <w:r>
        <w:rPr>
          <w:rFonts w:ascii="Arial" w:cs="Arial" w:eastAsia="Arial" w:hAnsi="Arial"/>
          <w:sz w:val="13"/>
          <w:szCs w:val="13"/>
          <w:color w:val="auto"/>
        </w:rPr>
        <w:t>Director, chairman of the compensation and member of the governance and risk committees, SVB Financial Group (NASDAQ:SIVB), a financial services provider (2011 - present)</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46"/>
        </w:numPr>
        <w:rPr>
          <w:rFonts w:ascii="Arial" w:cs="Arial" w:eastAsia="Arial" w:hAnsi="Arial"/>
          <w:sz w:val="13"/>
          <w:szCs w:val="13"/>
          <w:color w:val="FF4000"/>
        </w:rPr>
      </w:pPr>
      <w:r>
        <w:rPr>
          <w:rFonts w:ascii="Arial" w:cs="Arial" w:eastAsia="Arial" w:hAnsi="Arial"/>
          <w:sz w:val="13"/>
          <w:szCs w:val="13"/>
          <w:color w:val="auto"/>
        </w:rPr>
        <w:t>Senior Advisor and Advisory Director, FTV Capital, a private global investment company (2004 -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46"/>
        </w:numPr>
        <w:rPr>
          <w:rFonts w:ascii="Arial" w:cs="Arial" w:eastAsia="Arial" w:hAnsi="Arial"/>
          <w:sz w:val="13"/>
          <w:szCs w:val="13"/>
          <w:color w:val="FF4000"/>
        </w:rPr>
      </w:pPr>
      <w:r>
        <w:rPr>
          <w:rFonts w:ascii="Arial" w:cs="Arial" w:eastAsia="Arial" w:hAnsi="Arial"/>
          <w:sz w:val="13"/>
          <w:szCs w:val="13"/>
          <w:color w:val="auto"/>
        </w:rPr>
        <w:t>Vice Chairman, Profit Velocity Solutions, a manufacturing analytics firm (2007 -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46"/>
        </w:numPr>
        <w:rPr>
          <w:rFonts w:ascii="Arial" w:cs="Arial" w:eastAsia="Arial" w:hAnsi="Arial"/>
          <w:sz w:val="13"/>
          <w:szCs w:val="13"/>
          <w:color w:val="FF4000"/>
        </w:rPr>
      </w:pPr>
      <w:r>
        <w:rPr>
          <w:rFonts w:ascii="Arial" w:cs="Arial" w:eastAsia="Arial" w:hAnsi="Arial"/>
          <w:sz w:val="13"/>
          <w:szCs w:val="13"/>
          <w:color w:val="auto"/>
        </w:rPr>
        <w:t>Chairman, Nvoicepay, Inc. an electronic payment service provider (2010 - 2019)</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46"/>
        </w:numPr>
        <w:rPr>
          <w:rFonts w:ascii="Arial" w:cs="Arial" w:eastAsia="Arial" w:hAnsi="Arial"/>
          <w:sz w:val="13"/>
          <w:szCs w:val="13"/>
          <w:color w:val="FF4000"/>
        </w:rPr>
      </w:pPr>
      <w:r>
        <w:rPr>
          <w:rFonts w:ascii="Arial" w:cs="Arial" w:eastAsia="Arial" w:hAnsi="Arial"/>
          <w:sz w:val="13"/>
          <w:szCs w:val="13"/>
          <w:color w:val="auto"/>
        </w:rPr>
        <w:t>Advisory Director, Specialized Bicycle, a manufacturer of cycling equipment (1995 - 2014)</w:t>
      </w:r>
    </w:p>
    <w:p>
      <w:pPr>
        <w:spacing w:after="0" w:line="142" w:lineRule="exact"/>
        <w:rPr>
          <w:rFonts w:ascii="Arial" w:cs="Arial" w:eastAsia="Arial" w:hAnsi="Arial"/>
          <w:sz w:val="13"/>
          <w:szCs w:val="13"/>
          <w:color w:val="FF4000"/>
        </w:rPr>
      </w:pPr>
    </w:p>
    <w:p>
      <w:pPr>
        <w:ind w:left="1740" w:right="60" w:hanging="134"/>
        <w:spacing w:after="0" w:line="237" w:lineRule="auto"/>
        <w:tabs>
          <w:tab w:leader="none" w:pos="1740" w:val="left"/>
        </w:tabs>
        <w:numPr>
          <w:ilvl w:val="0"/>
          <w:numId w:val="46"/>
        </w:numPr>
        <w:rPr>
          <w:rFonts w:ascii="Arial" w:cs="Arial" w:eastAsia="Arial" w:hAnsi="Arial"/>
          <w:sz w:val="13"/>
          <w:szCs w:val="13"/>
          <w:color w:val="FF4000"/>
        </w:rPr>
      </w:pPr>
      <w:r>
        <w:rPr>
          <w:rFonts w:ascii="Arial" w:cs="Arial" w:eastAsia="Arial" w:hAnsi="Arial"/>
          <w:sz w:val="13"/>
          <w:szCs w:val="13"/>
          <w:color w:val="auto"/>
        </w:rPr>
        <w:t>Other directorships completed prior to 2015 include: Bottomline Technologies, a provider of payment and invoice automation software and services (2007 - 2012); Solera Holdings, a public automotive insurance software service provider (2005 - 2011); First Data Corporation, a payments solutions provider (1992 - 2003); and Global Document Solutions, a private document processing outsourcing company (2005 - 2010).</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47"/>
        </w:numPr>
        <w:rPr>
          <w:rFonts w:ascii="Arial" w:cs="Arial" w:eastAsia="Arial" w:hAnsi="Arial"/>
          <w:sz w:val="13"/>
          <w:szCs w:val="13"/>
          <w:color w:val="FF4000"/>
        </w:rPr>
      </w:pPr>
      <w:r>
        <w:rPr>
          <w:rFonts w:ascii="Arial" w:cs="Arial" w:eastAsia="Arial" w:hAnsi="Arial"/>
          <w:sz w:val="13"/>
          <w:szCs w:val="13"/>
          <w:color w:val="auto"/>
        </w:rPr>
        <w:t>Co-Founder and Co-Chairman, One Mind (1995 -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47"/>
        </w:numPr>
        <w:rPr>
          <w:rFonts w:ascii="Arial" w:cs="Arial" w:eastAsia="Arial" w:hAnsi="Arial"/>
          <w:sz w:val="13"/>
          <w:szCs w:val="13"/>
          <w:color w:val="FF4000"/>
        </w:rPr>
      </w:pPr>
      <w:r>
        <w:rPr>
          <w:rFonts w:ascii="Arial" w:cs="Arial" w:eastAsia="Arial" w:hAnsi="Arial"/>
          <w:sz w:val="13"/>
          <w:szCs w:val="13"/>
          <w:color w:val="auto"/>
        </w:rPr>
        <w:t>Founder and Co-Chairman, Healthy Brains Financing Initiative (2019 -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47"/>
        </w:numPr>
        <w:rPr>
          <w:rFonts w:ascii="Arial" w:cs="Arial" w:eastAsia="Arial" w:hAnsi="Arial"/>
          <w:sz w:val="13"/>
          <w:szCs w:val="13"/>
          <w:color w:val="FF4000"/>
        </w:rPr>
      </w:pPr>
      <w:r>
        <w:rPr>
          <w:rFonts w:ascii="Arial" w:cs="Arial" w:eastAsia="Arial" w:hAnsi="Arial"/>
          <w:sz w:val="13"/>
          <w:szCs w:val="13"/>
          <w:color w:val="auto"/>
        </w:rPr>
        <w:t>Member of the Stewardship Board, World Economic Forum (2019 -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47"/>
        </w:numPr>
        <w:rPr>
          <w:rFonts w:ascii="Arial" w:cs="Arial" w:eastAsia="Arial" w:hAnsi="Arial"/>
          <w:sz w:val="13"/>
          <w:szCs w:val="13"/>
          <w:color w:val="FF4000"/>
        </w:rPr>
      </w:pPr>
      <w:r>
        <w:rPr>
          <w:rFonts w:ascii="Arial" w:cs="Arial" w:eastAsia="Arial" w:hAnsi="Arial"/>
          <w:sz w:val="13"/>
          <w:szCs w:val="13"/>
          <w:color w:val="auto"/>
        </w:rPr>
        <w:t>Co-Chairman, UCLA Centennial Capital Campaign (2014 - 2019)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70420"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0420" cy="18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212725</wp:posOffset>
            </wp:positionV>
            <wp:extent cx="1408430" cy="3333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70420" cy="3517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0420" cy="3517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479EFF"/>
        </w:rPr>
        <w:t>Jaynie M. Studenmund</w:t>
      </w:r>
    </w:p>
    <w:p>
      <w:pPr>
        <w:spacing w:after="0" w:line="24" w:lineRule="exact"/>
        <w:rPr>
          <w:sz w:val="20"/>
          <w:szCs w:val="20"/>
          <w:color w:val="auto"/>
        </w:rPr>
      </w:pPr>
    </w:p>
    <w:p>
      <w:pPr>
        <w:spacing w:after="0"/>
        <w:tabs>
          <w:tab w:leader="none" w:pos="10080" w:val="left"/>
        </w:tabs>
        <w:rPr>
          <w:sz w:val="20"/>
          <w:szCs w:val="20"/>
          <w:color w:val="auto"/>
        </w:rPr>
      </w:pPr>
      <w:r>
        <w:rPr>
          <w:rFonts w:ascii="Arial" w:cs="Arial" w:eastAsia="Arial" w:hAnsi="Arial"/>
          <w:sz w:val="13"/>
          <w:szCs w:val="13"/>
          <w:b w:val="1"/>
          <w:bCs w:val="1"/>
          <w:color w:val="auto"/>
        </w:rPr>
        <w:t>Director since September 2018</w:t>
      </w:r>
      <w:r>
        <w:rPr>
          <w:sz w:val="20"/>
          <w:szCs w:val="20"/>
          <w:color w:val="auto"/>
        </w:rPr>
        <w:tab/>
      </w:r>
      <w:r>
        <w:rPr>
          <w:rFonts w:ascii="Arial" w:cs="Arial" w:eastAsia="Arial" w:hAnsi="Arial"/>
          <w:sz w:val="12"/>
          <w:szCs w:val="12"/>
          <w:b w:val="1"/>
          <w:bCs w:val="1"/>
          <w:color w:val="479E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876935" cy="26371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76935" cy="2637155"/>
                    </a:xfrm>
                    <a:prstGeom prst="rect">
                      <a:avLst/>
                    </a:prstGeom>
                    <a:noFill/>
                  </pic:spPr>
                </pic:pic>
              </a:graphicData>
            </a:graphic>
          </wp:anchor>
        </w:drawing>
      </w:r>
    </w:p>
    <w:p>
      <w:pPr>
        <w:spacing w:after="0" w:line="161" w:lineRule="exact"/>
        <w:rPr>
          <w:sz w:val="20"/>
          <w:szCs w:val="20"/>
          <w:color w:val="auto"/>
        </w:rPr>
      </w:pPr>
    </w:p>
    <w:p>
      <w:pPr>
        <w:ind w:left="1480" w:right="40"/>
        <w:spacing w:after="0" w:line="236" w:lineRule="auto"/>
        <w:rPr>
          <w:sz w:val="20"/>
          <w:szCs w:val="20"/>
          <w:color w:val="auto"/>
        </w:rPr>
      </w:pPr>
      <w:r>
        <w:rPr>
          <w:rFonts w:ascii="Arial" w:cs="Arial" w:eastAsia="Arial" w:hAnsi="Arial"/>
          <w:sz w:val="13"/>
          <w:szCs w:val="13"/>
          <w:color w:val="auto"/>
        </w:rPr>
        <w:t>Age: 66 — is a seasoned executive with significant experience as a top line executive leading financial services and digital companies. She also has extensive experience as a public company director. Ms. Studenmund's business experience and directorships are detailed below. The Company has concluded, based in part on Ms. Studenmund's extensive public company board experience, together with her knowledge and experience in the digital, financial services, health care and consumer business sectors, and her expertise in compensation and corporate governance, that Ms. Studenmund should serve as a director.</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48"/>
        </w:numPr>
        <w:rPr>
          <w:rFonts w:ascii="Arial" w:cs="Arial" w:eastAsia="Arial" w:hAnsi="Arial"/>
          <w:sz w:val="13"/>
          <w:szCs w:val="13"/>
          <w:color w:val="FF4000"/>
        </w:rPr>
      </w:pPr>
      <w:r>
        <w:rPr>
          <w:rFonts w:ascii="Arial" w:cs="Arial" w:eastAsia="Arial" w:hAnsi="Arial"/>
          <w:sz w:val="13"/>
          <w:szCs w:val="13"/>
          <w:color w:val="auto"/>
        </w:rPr>
        <w:t>Compensation (Chair), Audit*</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49"/>
        </w:numPr>
        <w:rPr>
          <w:rFonts w:ascii="Arial" w:cs="Arial" w:eastAsia="Arial" w:hAnsi="Arial"/>
          <w:sz w:val="13"/>
          <w:szCs w:val="13"/>
          <w:color w:val="FF4000"/>
        </w:rPr>
      </w:pPr>
      <w:r>
        <w:rPr>
          <w:rFonts w:ascii="Arial" w:cs="Arial" w:eastAsia="Arial" w:hAnsi="Arial"/>
          <w:sz w:val="13"/>
          <w:szCs w:val="13"/>
          <w:color w:val="auto"/>
        </w:rPr>
        <w:t>Chief Operating Officer, Overture Services, a pioneer in paid search and search engine marketing (2001- 2004)</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49"/>
        </w:numPr>
        <w:rPr>
          <w:rFonts w:ascii="Arial" w:cs="Arial" w:eastAsia="Arial" w:hAnsi="Arial"/>
          <w:sz w:val="13"/>
          <w:szCs w:val="13"/>
          <w:color w:val="FF4000"/>
        </w:rPr>
      </w:pPr>
      <w:r>
        <w:rPr>
          <w:rFonts w:ascii="Arial" w:cs="Arial" w:eastAsia="Arial" w:hAnsi="Arial"/>
          <w:sz w:val="13"/>
          <w:szCs w:val="13"/>
          <w:color w:val="auto"/>
        </w:rPr>
        <w:t>President &amp; Chief Operating Officer, PayMyBills, the leading consumer bill payment and presentment company (1999 - 2001)</w:t>
      </w:r>
    </w:p>
    <w:p>
      <w:pPr>
        <w:spacing w:after="0" w:line="142" w:lineRule="exact"/>
        <w:rPr>
          <w:rFonts w:ascii="Arial" w:cs="Arial" w:eastAsia="Arial" w:hAnsi="Arial"/>
          <w:sz w:val="13"/>
          <w:szCs w:val="13"/>
          <w:color w:val="FF4000"/>
        </w:rPr>
      </w:pPr>
    </w:p>
    <w:p>
      <w:pPr>
        <w:ind w:left="1740" w:right="140" w:hanging="134"/>
        <w:spacing w:after="0" w:line="237" w:lineRule="auto"/>
        <w:tabs>
          <w:tab w:leader="none" w:pos="1740" w:val="left"/>
        </w:tabs>
        <w:numPr>
          <w:ilvl w:val="0"/>
          <w:numId w:val="49"/>
        </w:numPr>
        <w:rPr>
          <w:rFonts w:ascii="Arial" w:cs="Arial" w:eastAsia="Arial" w:hAnsi="Arial"/>
          <w:sz w:val="13"/>
          <w:szCs w:val="13"/>
          <w:color w:val="FF4000"/>
        </w:rPr>
      </w:pPr>
      <w:r>
        <w:rPr>
          <w:rFonts w:ascii="Arial" w:cs="Arial" w:eastAsia="Arial" w:hAnsi="Arial"/>
          <w:sz w:val="13"/>
          <w:szCs w:val="13"/>
          <w:color w:val="auto"/>
        </w:rPr>
        <w:t>Previously for over two decades served as Executive Vice President and Head of Consumer and Business Banking for three of the nation's largest banks at the time and primarily for First Interstate of California. Today, these three banks form the backbone of Chase's and Wells Fargo's consumer business in California following the era of bank consolidation.</w:t>
      </w:r>
    </w:p>
    <w:p>
      <w:pPr>
        <w:spacing w:after="0" w:line="134"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0"/>
          <w:numId w:val="50"/>
        </w:numPr>
        <w:rPr>
          <w:rFonts w:ascii="Arial" w:cs="Arial" w:eastAsia="Arial" w:hAnsi="Arial"/>
          <w:sz w:val="13"/>
          <w:szCs w:val="13"/>
          <w:color w:val="FF4000"/>
        </w:rPr>
      </w:pPr>
      <w:r>
        <w:rPr>
          <w:rFonts w:ascii="Arial" w:cs="Arial" w:eastAsia="Arial" w:hAnsi="Arial"/>
          <w:sz w:val="13"/>
          <w:szCs w:val="13"/>
          <w:color w:val="auto"/>
        </w:rPr>
        <w:t>Director and chair of the compensation committee and member of the risk management committee, Pacific Premier Bancorp (Nasdaq: PPBI) (2019 - present)</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50"/>
        </w:numPr>
        <w:rPr>
          <w:rFonts w:ascii="Arial" w:cs="Arial" w:eastAsia="Arial" w:hAnsi="Arial"/>
          <w:sz w:val="13"/>
          <w:szCs w:val="13"/>
          <w:color w:val="FF4000"/>
        </w:rPr>
      </w:pPr>
      <w:r>
        <w:rPr>
          <w:rFonts w:ascii="Arial" w:cs="Arial" w:eastAsia="Arial" w:hAnsi="Arial"/>
          <w:sz w:val="13"/>
          <w:szCs w:val="13"/>
          <w:color w:val="auto"/>
        </w:rPr>
        <w:t>Director and chair of the compensation committee and member of the nomination and governance committee, CoreLogic, Inc. (NYSE: CLGX) (2012 - present)</w:t>
      </w:r>
    </w:p>
    <w:p>
      <w:pPr>
        <w:spacing w:after="0" w:line="142" w:lineRule="exact"/>
        <w:rPr>
          <w:rFonts w:ascii="Arial" w:cs="Arial" w:eastAsia="Arial" w:hAnsi="Arial"/>
          <w:sz w:val="13"/>
          <w:szCs w:val="13"/>
          <w:color w:val="FF4000"/>
        </w:rPr>
      </w:pPr>
    </w:p>
    <w:p>
      <w:pPr>
        <w:ind w:left="1740" w:right="360" w:hanging="134"/>
        <w:spacing w:after="0" w:line="239" w:lineRule="auto"/>
        <w:tabs>
          <w:tab w:leader="none" w:pos="1740" w:val="left"/>
        </w:tabs>
        <w:numPr>
          <w:ilvl w:val="0"/>
          <w:numId w:val="50"/>
        </w:numPr>
        <w:rPr>
          <w:rFonts w:ascii="Arial" w:cs="Arial" w:eastAsia="Arial" w:hAnsi="Arial"/>
          <w:sz w:val="13"/>
          <w:szCs w:val="13"/>
          <w:color w:val="FF4000"/>
        </w:rPr>
      </w:pPr>
      <w:r>
        <w:rPr>
          <w:rFonts w:ascii="Arial" w:cs="Arial" w:eastAsia="Arial" w:hAnsi="Arial"/>
          <w:sz w:val="13"/>
          <w:szCs w:val="13"/>
          <w:color w:val="auto"/>
        </w:rPr>
        <w:t>Director and member of the contracts committee, audit committee and nomination and governance committee, Western Asset Management funds (2004 - present), a major global fixed income fund, and director of affiliated funds for Western Asset Management</w:t>
      </w:r>
    </w:p>
    <w:p>
      <w:pPr>
        <w:spacing w:after="0" w:line="139" w:lineRule="exact"/>
        <w:rPr>
          <w:rFonts w:ascii="Arial" w:cs="Arial" w:eastAsia="Arial" w:hAnsi="Arial"/>
          <w:sz w:val="13"/>
          <w:szCs w:val="13"/>
          <w:color w:val="FF4000"/>
        </w:rPr>
      </w:pPr>
    </w:p>
    <w:p>
      <w:pPr>
        <w:ind w:left="1740" w:hanging="134"/>
        <w:spacing w:after="0"/>
        <w:tabs>
          <w:tab w:leader="none" w:pos="1740" w:val="left"/>
        </w:tabs>
        <w:numPr>
          <w:ilvl w:val="0"/>
          <w:numId w:val="50"/>
        </w:numPr>
        <w:rPr>
          <w:rFonts w:ascii="Arial" w:cs="Arial" w:eastAsia="Arial" w:hAnsi="Arial"/>
          <w:sz w:val="13"/>
          <w:szCs w:val="13"/>
          <w:color w:val="FF4000"/>
        </w:rPr>
      </w:pPr>
      <w:r>
        <w:rPr>
          <w:rFonts w:ascii="Arial" w:cs="Arial" w:eastAsia="Arial" w:hAnsi="Arial"/>
          <w:sz w:val="13"/>
          <w:szCs w:val="13"/>
          <w:color w:val="auto"/>
        </w:rPr>
        <w:t>Director, compensation committee chair and member of the compliance committee, Pinnacle Entertainment (Nasdaq: PNK) until its acquisition in 2018 (2012 - 2018)</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0"/>
          <w:numId w:val="50"/>
        </w:numPr>
        <w:rPr>
          <w:rFonts w:ascii="Arial" w:cs="Arial" w:eastAsia="Arial" w:hAnsi="Arial"/>
          <w:sz w:val="13"/>
          <w:szCs w:val="13"/>
          <w:color w:val="FF4000"/>
        </w:rPr>
      </w:pPr>
      <w:r>
        <w:rPr>
          <w:rFonts w:ascii="Arial" w:cs="Arial" w:eastAsia="Arial" w:hAnsi="Arial"/>
          <w:sz w:val="13"/>
          <w:szCs w:val="13"/>
          <w:color w:val="auto"/>
        </w:rPr>
        <w:t>Director, compensation committee chair and member of the audit committee, Lifelock (Nasdaq: LOCK) until its acquisition in 2017 (2015 - 2017)</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105410</wp:posOffset>
            </wp:positionV>
            <wp:extent cx="624395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43955" cy="6350"/>
                    </a:xfrm>
                    <a:prstGeom prst="rect">
                      <a:avLst/>
                    </a:prstGeom>
                    <a:noFill/>
                  </pic:spPr>
                </pic:pic>
              </a:graphicData>
            </a:graphic>
          </wp:anchor>
        </w:drawing>
      </w:r>
    </w:p>
    <w:p>
      <w:pPr>
        <w:spacing w:after="0" w:line="226" w:lineRule="exact"/>
        <w:rPr>
          <w:sz w:val="20"/>
          <w:szCs w:val="20"/>
          <w:color w:val="auto"/>
        </w:rPr>
      </w:pPr>
    </w:p>
    <w:p>
      <w:pPr>
        <w:ind w:left="1740" w:hanging="134"/>
        <w:spacing w:after="0"/>
        <w:tabs>
          <w:tab w:leader="none" w:pos="1740" w:val="left"/>
        </w:tabs>
        <w:numPr>
          <w:ilvl w:val="1"/>
          <w:numId w:val="51"/>
        </w:numPr>
        <w:rPr>
          <w:rFonts w:ascii="Arial" w:cs="Arial" w:eastAsia="Arial" w:hAnsi="Arial"/>
          <w:sz w:val="13"/>
          <w:szCs w:val="13"/>
          <w:color w:val="FF4000"/>
        </w:rPr>
      </w:pPr>
      <w:r>
        <w:rPr>
          <w:rFonts w:ascii="Arial" w:cs="Arial" w:eastAsia="Arial" w:hAnsi="Arial"/>
          <w:sz w:val="13"/>
          <w:szCs w:val="13"/>
          <w:color w:val="auto"/>
        </w:rPr>
        <w:t>Board Leadership Fellow, National Association of Corporate Directors</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1"/>
          <w:numId w:val="51"/>
        </w:numPr>
        <w:rPr>
          <w:rFonts w:ascii="Arial" w:cs="Arial" w:eastAsia="Arial" w:hAnsi="Arial"/>
          <w:sz w:val="13"/>
          <w:szCs w:val="13"/>
          <w:color w:val="FF4000"/>
        </w:rPr>
      </w:pPr>
      <w:r>
        <w:rPr>
          <w:rFonts w:ascii="Arial" w:cs="Arial" w:eastAsia="Arial" w:hAnsi="Arial"/>
          <w:sz w:val="13"/>
          <w:szCs w:val="13"/>
          <w:color w:val="auto"/>
        </w:rPr>
        <w:t>Life trustee and board chair, Huntington Hospital</w:t>
      </w:r>
    </w:p>
    <w:p>
      <w:pPr>
        <w:spacing w:after="0" w:line="142" w:lineRule="exact"/>
        <w:rPr>
          <w:rFonts w:ascii="Arial" w:cs="Arial" w:eastAsia="Arial" w:hAnsi="Arial"/>
          <w:sz w:val="13"/>
          <w:szCs w:val="13"/>
          <w:color w:val="FF4000"/>
        </w:rPr>
      </w:pPr>
    </w:p>
    <w:p>
      <w:pPr>
        <w:ind w:left="1740" w:hanging="134"/>
        <w:spacing w:after="0"/>
        <w:tabs>
          <w:tab w:leader="none" w:pos="1740" w:val="left"/>
        </w:tabs>
        <w:numPr>
          <w:ilvl w:val="1"/>
          <w:numId w:val="51"/>
        </w:numPr>
        <w:rPr>
          <w:rFonts w:ascii="Arial" w:cs="Arial" w:eastAsia="Arial" w:hAnsi="Arial"/>
          <w:sz w:val="13"/>
          <w:szCs w:val="13"/>
          <w:color w:val="FF4000"/>
        </w:rPr>
      </w:pPr>
      <w:r>
        <w:rPr>
          <w:rFonts w:ascii="Arial" w:cs="Arial" w:eastAsia="Arial" w:hAnsi="Arial"/>
          <w:sz w:val="13"/>
          <w:szCs w:val="13"/>
          <w:color w:val="auto"/>
        </w:rPr>
        <w:t>Founder and board member, Enduring Heroes Foundation</w:t>
      </w:r>
    </w:p>
    <w:p>
      <w:pPr>
        <w:spacing w:after="0" w:line="182" w:lineRule="exact"/>
        <w:rPr>
          <w:rFonts w:ascii="Arial" w:cs="Arial" w:eastAsia="Arial" w:hAnsi="Arial"/>
          <w:sz w:val="13"/>
          <w:szCs w:val="13"/>
          <w:color w:val="FF4000"/>
        </w:rPr>
      </w:pPr>
    </w:p>
    <w:p>
      <w:pPr>
        <w:spacing w:after="0"/>
        <w:rPr>
          <w:rFonts w:ascii="Arial" w:cs="Arial" w:eastAsia="Arial" w:hAnsi="Arial"/>
          <w:sz w:val="13"/>
          <w:szCs w:val="13"/>
          <w:color w:val="FF4000"/>
        </w:rPr>
      </w:pPr>
      <w:r>
        <w:rPr>
          <w:rFonts w:ascii="Arial" w:cs="Arial" w:eastAsia="Arial" w:hAnsi="Arial"/>
          <w:sz w:val="10"/>
          <w:szCs w:val="10"/>
          <w:color w:val="auto"/>
        </w:rPr>
        <w:t>* Audit committee financial expert under applicable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-191770</wp:posOffset>
            </wp:positionV>
            <wp:extent cx="7170420"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0420" cy="1841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196850</wp:posOffset>
            </wp:positionV>
            <wp:extent cx="1408430" cy="3333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CORPORATE GOVERNANCE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CORPORATE GOVERNANCE</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DIRECTOR INDEPENDENCE</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In determining director independence, the board of directors considered the transactions and relationships set forth below under "Certain Relationships and Related Person Transactions — Related Party Transactions" and routine service arrangements between the Company and each of Fair Square Financial ("FSF") and Virtusa Corporation ("Virtusa"). During fiscal year 2020, one of our directors,</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2"/>
          <w:szCs w:val="12"/>
          <w:color w:val="auto"/>
        </w:rPr>
        <w:t>Mr. Pandit, served as a non-executive director and, through his ownership in The Orogen Group (see below for information on Mr. Pandit's relationship with The Orogen Group), owned an immaterial indirect equity interest, in each of FSF and Virtusa; Mr. Pandit is not a partner, controlling shareholder or executive officer of either FSF or Virtusa. Based on its review of all applicable relationships, our board of directors has determined that all of the members on our board of directors, other than Mr. Kapoor, meet the independence requirements of the Nasdaq Stock Market and federal securities laws.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MEETING ATTENDANCE</w:t>
      </w:r>
    </w:p>
    <w:p>
      <w:pPr>
        <w:spacing w:after="0" w:line="168" w:lineRule="exact"/>
        <w:rPr>
          <w:sz w:val="20"/>
          <w:szCs w:val="20"/>
          <w:color w:val="auto"/>
        </w:rPr>
      </w:pPr>
    </w:p>
    <w:p>
      <w:pPr>
        <w:ind w:right="60"/>
        <w:spacing w:after="0" w:line="236" w:lineRule="auto"/>
        <w:rPr>
          <w:sz w:val="20"/>
          <w:szCs w:val="20"/>
          <w:color w:val="auto"/>
        </w:rPr>
      </w:pPr>
      <w:r>
        <w:rPr>
          <w:rFonts w:ascii="Arial" w:cs="Arial" w:eastAsia="Arial" w:hAnsi="Arial"/>
          <w:sz w:val="13"/>
          <w:szCs w:val="13"/>
          <w:color w:val="auto"/>
        </w:rPr>
        <w:t>We expect our directors to attend all board of directors meetings and meetings of committees on which they serve. We also expect our directors to spend sufficient time and meet as frequently as necessary to discharge their responsibilities properly. Each director attended at least 75% of the aggregate meetings of our board of directors and the committees on which they served during 2020. It is our policy that all of our directors should attend our Annual Meetings of Stockholders absent exceptional cause, and all of our then-incumbent directors attended the 2020 Annual Meeting of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and Committee Meetings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105410</wp:posOffset>
            </wp:positionV>
            <wp:extent cx="5002530" cy="12293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02530" cy="12293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1532255</wp:posOffset>
            </wp:positionV>
            <wp:extent cx="1408430" cy="3333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CORPORATE GOVERNANCE FRAMEWORK</w:t>
      </w:r>
    </w:p>
    <w:p>
      <w:pPr>
        <w:spacing w:after="0" w:line="168" w:lineRule="exact"/>
        <w:rPr>
          <w:sz w:val="20"/>
          <w:szCs w:val="20"/>
          <w:color w:val="auto"/>
        </w:rPr>
      </w:pPr>
    </w:p>
    <w:p>
      <w:pPr>
        <w:ind w:right="460"/>
        <w:spacing w:after="0" w:line="239" w:lineRule="auto"/>
        <w:rPr>
          <w:sz w:val="20"/>
          <w:szCs w:val="20"/>
          <w:color w:val="auto"/>
        </w:rPr>
      </w:pPr>
      <w:r>
        <w:rPr>
          <w:rFonts w:ascii="Arial" w:cs="Arial" w:eastAsia="Arial" w:hAnsi="Arial"/>
          <w:sz w:val="13"/>
          <w:szCs w:val="13"/>
          <w:color w:val="auto"/>
        </w:rPr>
        <w:t>The board is responsible for providing governance and oversight over the effectiveness of policy and decision-making with respect to the strategy, operations and management of EXL, in order to enhance our financial performance and stockholder value over the long term.</w:t>
      </w:r>
    </w:p>
    <w:p>
      <w:pPr>
        <w:spacing w:after="0" w:line="150" w:lineRule="exact"/>
        <w:rPr>
          <w:sz w:val="20"/>
          <w:szCs w:val="20"/>
          <w:color w:val="auto"/>
        </w:rPr>
      </w:pPr>
    </w:p>
    <w:p>
      <w:pPr>
        <w:ind w:right="280"/>
        <w:spacing w:after="0" w:line="237" w:lineRule="auto"/>
        <w:rPr>
          <w:sz w:val="20"/>
          <w:szCs w:val="20"/>
          <w:color w:val="auto"/>
        </w:rPr>
      </w:pPr>
      <w:r>
        <w:rPr>
          <w:rFonts w:ascii="Arial" w:cs="Arial" w:eastAsia="Arial" w:hAnsi="Arial"/>
          <w:sz w:val="13"/>
          <w:szCs w:val="13"/>
          <w:color w:val="auto"/>
        </w:rPr>
        <w:t>Our board's commitment to strong corporate governance is informed by the five core values of our corporate culture: innovation, respect, integrity, excellence and collaboration. Our board seeks to maintain best practices in corporate governance by reviewing and updating our governance policies, as appropriate, at least annually, and provides oversight over our risk management and strategic planning, as relates to our growth, human capital management, and environmental, social and governance matters, each as discussed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93980</wp:posOffset>
            </wp:positionV>
            <wp:extent cx="6083935" cy="30575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83935" cy="305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2" w:name="page33"/>
    <w:bookmarkEnd w:id="32"/>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FF4000"/>
        </w:rPr>
        <w:t>BEYOND THE BOARD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5960110" cy="60896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0110" cy="608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0159"/>
          </w:cols>
          <w:pgMar w:left="300" w:top="142" w:right="1440" w:bottom="1440" w:gutter="0" w:footer="0" w:header="0"/>
        </w:sectPr>
      </w:pPr>
    </w:p>
    <w:bookmarkStart w:id="33" w:name="page34"/>
    <w:bookmarkEnd w:id="3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BOARD LEADERSHIP STRUCTURE</w:t>
      </w:r>
    </w:p>
    <w:p>
      <w:pPr>
        <w:spacing w:after="0" w:line="168" w:lineRule="exact"/>
        <w:rPr>
          <w:sz w:val="20"/>
          <w:szCs w:val="20"/>
          <w:color w:val="auto"/>
        </w:rPr>
      </w:pPr>
    </w:p>
    <w:p>
      <w:pPr>
        <w:ind w:left="3920"/>
        <w:spacing w:after="0"/>
        <w:rPr>
          <w:sz w:val="20"/>
          <w:szCs w:val="20"/>
          <w:color w:val="auto"/>
        </w:rPr>
      </w:pPr>
      <w:r>
        <w:rPr>
          <w:rFonts w:ascii="Arial" w:cs="Arial" w:eastAsia="Arial" w:hAnsi="Arial"/>
          <w:sz w:val="13"/>
          <w:szCs w:val="13"/>
          <w:color w:val="auto"/>
        </w:rPr>
        <w:t>Our board of directors is currently led by Garen K. Staglin, our Chairman, and Rohit Kapoor, our Vice Chairman and CEO.</w:t>
      </w:r>
    </w:p>
    <w:p>
      <w:pPr>
        <w:spacing w:after="0" w:line="152" w:lineRule="exact"/>
        <w:rPr>
          <w:sz w:val="20"/>
          <w:szCs w:val="20"/>
          <w:color w:val="auto"/>
        </w:rPr>
      </w:pPr>
    </w:p>
    <w:p>
      <w:pPr>
        <w:ind w:left="3920" w:right="20"/>
        <w:spacing w:after="0" w:line="235" w:lineRule="auto"/>
        <w:rPr>
          <w:sz w:val="20"/>
          <w:szCs w:val="20"/>
          <w:color w:val="auto"/>
        </w:rPr>
      </w:pPr>
      <w:r>
        <w:rPr>
          <w:rFonts w:ascii="Arial" w:cs="Arial" w:eastAsia="Arial" w:hAnsi="Arial"/>
          <w:sz w:val="13"/>
          <w:szCs w:val="13"/>
          <w:color w:val="auto"/>
        </w:rPr>
        <w:t>Our by-laws provide that our Chairman or, in the absence of our Chairman, our Lead Director (if there is a Lead Director serving at such time), or in the absence of both our Chairman and Lead Director, our CEO, calls meetings of our board of directors to order and acts as the chairman for those board meetings. In the absence of our Chairman, our Lead Director (if there is a Lead Director serving at such time), and our CEO, a majority of our directors present may elect as chairman of the meeting any director present. Independent directors meet at least quarterly in executive session without any management directors or members of the Company's management present. Our Corporate Governance Guidlines provide that in the absence of our Chairman, our Lead Director (if there is a Lead Director serving at such time) or, in the absence of the Lead Director, a director chosen by the directors meeting in executive session, presides at all executive sessions.</w:t>
      </w:r>
    </w:p>
    <w:p>
      <w:pPr>
        <w:spacing w:after="0" w:line="152" w:lineRule="exact"/>
        <w:rPr>
          <w:sz w:val="20"/>
          <w:szCs w:val="20"/>
          <w:color w:val="auto"/>
        </w:rPr>
      </w:pPr>
    </w:p>
    <w:p>
      <w:pPr>
        <w:ind w:left="3920" w:right="120"/>
        <w:spacing w:after="0" w:line="235" w:lineRule="auto"/>
        <w:rPr>
          <w:sz w:val="20"/>
          <w:szCs w:val="20"/>
          <w:color w:val="auto"/>
        </w:rPr>
      </w:pPr>
      <w:r>
        <w:rPr>
          <w:rFonts w:ascii="Arial" w:cs="Arial" w:eastAsia="Arial" w:hAnsi="Arial"/>
          <w:sz w:val="13"/>
          <w:szCs w:val="13"/>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As a result, the Company will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For the foregoing reasons, our board of directors has determined that its leadership structure is appropriate and in the best interests of our stockholders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193675</wp:posOffset>
            </wp:positionV>
            <wp:extent cx="1408430" cy="3333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4" w:name="page35"/>
    <w:bookmarkEnd w:id="34"/>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DIRECTOR QUALIFICATIONS, REFRESHMENT AND EVALUATIONS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105410</wp:posOffset>
            </wp:positionV>
            <wp:extent cx="1927225" cy="22047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27225" cy="2204720"/>
                    </a:xfrm>
                    <a:prstGeom prst="rect">
                      <a:avLst/>
                    </a:prstGeom>
                    <a:noFill/>
                  </pic:spPr>
                </pic:pic>
              </a:graphicData>
            </a:graphic>
          </wp:anchor>
        </w:drawing>
      </w:r>
    </w:p>
    <w:p>
      <w:pPr>
        <w:spacing w:after="0" w:line="148" w:lineRule="exact"/>
        <w:rPr>
          <w:sz w:val="20"/>
          <w:szCs w:val="20"/>
          <w:color w:val="auto"/>
        </w:rPr>
      </w:pPr>
    </w:p>
    <w:p>
      <w:pPr>
        <w:ind w:right="2179"/>
        <w:spacing w:after="0" w:line="236" w:lineRule="auto"/>
        <w:rPr>
          <w:sz w:val="20"/>
          <w:szCs w:val="20"/>
          <w:color w:val="auto"/>
        </w:rPr>
      </w:pPr>
      <w:r>
        <w:rPr>
          <w:rFonts w:ascii="Arial" w:cs="Arial" w:eastAsia="Arial" w:hAnsi="Arial"/>
          <w:sz w:val="13"/>
          <w:szCs w:val="13"/>
          <w:color w:val="auto"/>
        </w:rPr>
        <w:t>The board of directors considers it paramount to achieving excellence in corporate governance to assemble a board of directors that, taken together, has the breadth of skills, qualifications, experience and attributes appropriate for functioning as the board of directors of our Company and working productively with management. The Nominating and Governance Committee of the board is responsible for recommending nominees who are qualified and bring a diverse set of skills and qualifications to oversee the Company effectively.</w:t>
      </w:r>
    </w:p>
    <w:p>
      <w:pPr>
        <w:spacing w:after="0" w:line="151" w:lineRule="exact"/>
        <w:rPr>
          <w:sz w:val="20"/>
          <w:szCs w:val="20"/>
          <w:color w:val="auto"/>
        </w:rPr>
      </w:pPr>
    </w:p>
    <w:p>
      <w:pPr>
        <w:ind w:right="2079"/>
        <w:spacing w:after="0" w:line="235" w:lineRule="auto"/>
        <w:rPr>
          <w:sz w:val="20"/>
          <w:szCs w:val="20"/>
          <w:color w:val="auto"/>
        </w:rPr>
      </w:pPr>
      <w:r>
        <w:rPr>
          <w:rFonts w:ascii="Arial" w:cs="Arial" w:eastAsia="Arial" w:hAnsi="Arial"/>
          <w:sz w:val="13"/>
          <w:szCs w:val="13"/>
          <w:color w:val="auto"/>
        </w:rPr>
        <w:t>The Nominating and Governance Committee has not formally established any minimum qualifications for director candidates, but pursuant to our Corporate Governance Guidelines, our board of directors seeks members from diverse professional and personal backgrounds who combine a broad spectrum of experience and expertise with a reputation for integrity. The Nominating and Governance Committee assesses each director candidate's independence, diversity (including age, ethnicity, race and gender, among others), skills and experience in the context of the needs of the board of directors. The Nominating and Governance Committee considers a number of factors in selecting director candidates, including, among others: ethical standards and integrity; independence; diversity of professional and personal backgrounds; skills and experience; other public company directorships; and financial literacy and expertise; communication skills; and ability and willingness to comply with Company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1138555</wp:posOffset>
            </wp:positionV>
            <wp:extent cx="1408430" cy="3333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0159"/>
          </w:cols>
          <w:pgMar w:left="300" w:top="142" w:right="1440" w:bottom="1440" w:gutter="0" w:footer="0" w:header="0"/>
        </w:sectPr>
      </w:pPr>
    </w:p>
    <w:bookmarkStart w:id="35" w:name="page36"/>
    <w:bookmarkEnd w:id="35"/>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860"/>
        <w:spacing w:after="0"/>
        <w:rPr>
          <w:sz w:val="20"/>
          <w:szCs w:val="20"/>
          <w:color w:val="auto"/>
        </w:rPr>
      </w:pPr>
      <w:r>
        <w:rPr>
          <w:rFonts w:ascii="Arial" w:cs="Arial" w:eastAsia="Arial" w:hAnsi="Arial"/>
          <w:sz w:val="10"/>
          <w:szCs w:val="10"/>
          <w:b w:val="1"/>
          <w:bCs w:val="1"/>
          <w:color w:val="CCD9D9"/>
        </w:rPr>
        <w:t>CORPORATE GOVERNANCE</w:t>
      </w:r>
    </w:p>
    <w:p>
      <w:pPr>
        <w:spacing w:after="0" w:line="168" w:lineRule="exact"/>
        <w:rPr>
          <w:sz w:val="20"/>
          <w:szCs w:val="20"/>
          <w:color w:val="auto"/>
        </w:rPr>
      </w:pPr>
    </w:p>
    <w:p>
      <w:pPr>
        <w:ind w:right="180"/>
        <w:spacing w:after="0" w:line="239" w:lineRule="auto"/>
        <w:rPr>
          <w:sz w:val="20"/>
          <w:szCs w:val="20"/>
          <w:color w:val="auto"/>
        </w:rPr>
      </w:pPr>
      <w:r>
        <w:rPr>
          <w:rFonts w:ascii="Arial" w:cs="Arial" w:eastAsia="Arial" w:hAnsi="Arial"/>
          <w:sz w:val="13"/>
          <w:szCs w:val="13"/>
          <w:color w:val="auto"/>
        </w:rPr>
        <w:t>In light of our business, the primary areas of experience, qualifications and attributes typically sought and put forward by the Nominating and Governance Committee in director candidates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93345</wp:posOffset>
            </wp:positionV>
            <wp:extent cx="5447665" cy="5348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47665" cy="534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5408930</wp:posOffset>
            </wp:positionH>
            <wp:positionV relativeFrom="paragraph">
              <wp:posOffset>105410</wp:posOffset>
            </wp:positionV>
            <wp:extent cx="1710690" cy="1816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0690" cy="1816100"/>
                    </a:xfrm>
                    <a:prstGeom prst="rect">
                      <a:avLst/>
                    </a:prstGeom>
                    <a:noFill/>
                  </pic:spPr>
                </pic:pic>
              </a:graphicData>
            </a:graphic>
          </wp:anchor>
        </w:drawing>
      </w:r>
    </w:p>
    <w:p>
      <w:pPr>
        <w:spacing w:after="0" w:line="148" w:lineRule="exact"/>
        <w:rPr>
          <w:sz w:val="20"/>
          <w:szCs w:val="20"/>
          <w:color w:val="auto"/>
        </w:rPr>
      </w:pPr>
    </w:p>
    <w:p>
      <w:pPr>
        <w:ind w:right="3140"/>
        <w:spacing w:after="0" w:line="239" w:lineRule="auto"/>
        <w:rPr>
          <w:sz w:val="20"/>
          <w:szCs w:val="20"/>
          <w:color w:val="auto"/>
        </w:rPr>
      </w:pPr>
      <w:r>
        <w:rPr>
          <w:rFonts w:ascii="Arial" w:cs="Arial" w:eastAsia="Arial" w:hAnsi="Arial"/>
          <w:sz w:val="13"/>
          <w:szCs w:val="13"/>
          <w:color w:val="auto"/>
        </w:rPr>
        <w:t>Our Nominating and Governance Committee regularly considers the size and composition of our board on a continual basis with an aim toward creating a balanced board with extensive experience and institutional knowledge, and fresh perspective and insight.</w:t>
      </w:r>
    </w:p>
    <w:p>
      <w:pPr>
        <w:spacing w:after="0" w:line="179" w:lineRule="exact"/>
        <w:rPr>
          <w:sz w:val="20"/>
          <w:szCs w:val="20"/>
          <w:color w:val="auto"/>
        </w:rPr>
      </w:pPr>
    </w:p>
    <w:p>
      <w:pPr>
        <w:ind w:right="2940"/>
        <w:spacing w:after="0" w:line="266" w:lineRule="auto"/>
        <w:rPr>
          <w:sz w:val="20"/>
          <w:szCs w:val="20"/>
          <w:color w:val="auto"/>
        </w:rPr>
      </w:pPr>
      <w:r>
        <w:rPr>
          <w:rFonts w:ascii="Arial" w:cs="Arial" w:eastAsia="Arial" w:hAnsi="Arial"/>
          <w:sz w:val="12"/>
          <w:szCs w:val="12"/>
          <w:color w:val="auto"/>
        </w:rPr>
        <w:t>Considerations include whether the composition of the board of directors includes sufficient diversity and independent skill sets and background as appropriate for our immediate and long-term strategic needs. These considerations are also informed by discussions with our investors through stockholder engagement. In terms of diversity, our board is 57% diverse in terms of gender and 57% diverse in terms of ethnic/racial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00"/>
        <w:spacing w:after="0" w:line="239" w:lineRule="auto"/>
        <w:rPr>
          <w:sz w:val="20"/>
          <w:szCs w:val="20"/>
          <w:color w:val="auto"/>
        </w:rPr>
      </w:pPr>
      <w:r>
        <w:rPr>
          <w:rFonts w:ascii="Arial" w:cs="Arial" w:eastAsia="Arial" w:hAnsi="Arial"/>
          <w:sz w:val="13"/>
          <w:szCs w:val="13"/>
          <w:color w:val="auto"/>
        </w:rPr>
        <w:t>In considering board composition, our Nominating and Governance Committee also considers the length of tenure of the directors as a whole. Over the past four years, we have added three new directors, and following the Annual Meeting, will have the following balance of tenures: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93345</wp:posOffset>
            </wp:positionV>
            <wp:extent cx="3520440" cy="7658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20440" cy="76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While the Company does not maintain term limits, our Corporate Governance Guidelines provide that the expectations for new directors is a maximum term of ten years. The board actively manages board refreshment and succession planning. The board expects that over the next few years, three to four longer tenured directors may retire. The Nominating and Governance Committee will identify successors based on the goal of maintaining the board's overall balance of experience and perspective. A recommendation regarding board composition is shared with the full board of directors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1408430" cy="3333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120"/>
          </w:cols>
          <w:pgMar w:left="300" w:top="142" w:right="479" w:bottom="1440" w:gutter="0" w:footer="0" w:header="0"/>
        </w:sectPr>
      </w:pPr>
    </w:p>
    <w:bookmarkStart w:id="37" w:name="page38"/>
    <w:bookmarkEnd w:id="37"/>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Board Refreshment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105410</wp:posOffset>
            </wp:positionV>
            <wp:extent cx="6059170" cy="60344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59170" cy="603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Board Evaluations</w:t>
      </w:r>
    </w:p>
    <w:p>
      <w:pPr>
        <w:spacing w:after="0" w:line="168" w:lineRule="exact"/>
        <w:rPr>
          <w:sz w:val="20"/>
          <w:szCs w:val="20"/>
          <w:color w:val="auto"/>
        </w:rPr>
      </w:pPr>
    </w:p>
    <w:p>
      <w:pPr>
        <w:ind w:right="280"/>
        <w:spacing w:after="0" w:line="239" w:lineRule="auto"/>
        <w:rPr>
          <w:sz w:val="20"/>
          <w:szCs w:val="20"/>
          <w:color w:val="auto"/>
        </w:rPr>
      </w:pPr>
      <w:r>
        <w:rPr>
          <w:rFonts w:ascii="Arial" w:cs="Arial" w:eastAsia="Arial" w:hAnsi="Arial"/>
          <w:sz w:val="13"/>
          <w:szCs w:val="13"/>
          <w:color w:val="auto"/>
        </w:rPr>
        <w:t>We consider the continued effectiveness of the board and its committees as critical to our long-term success and stockholder value. The board evaluates its performance and the performance of it committees and each director on an annual basis through the following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93345</wp:posOffset>
            </wp:positionV>
            <wp:extent cx="5002530" cy="37306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02530" cy="373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COMMITTEES</w:t>
      </w:r>
    </w:p>
    <w:p>
      <w:pPr>
        <w:spacing w:after="0" w:line="168"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Our board of directors currently has three standing committees: the Audit Committee, the Nominating and Governance Committee and the Compensation Committee. As discussed above, our board of directors has determined that each member of the Audit, Nominating and Governance and Compensation Committees meets the independence and experience requirements of the Nasdaq Stock Market and federal securities laws. Copies of our committee charters can be found on the Investor Relations page of our website at: https://ir.exlservice.com/corporate-governance. Information on our website referred to in this proxy statement does not constitute a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1408430" cy="3333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160"/>
          </w:cols>
          <w:pgMar w:left="300" w:top="142" w:right="43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CORPORATE GOVERNANCE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current chairs and members of each standing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95250</wp:posOffset>
            </wp:positionV>
            <wp:extent cx="6059170" cy="56515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59170" cy="565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0" w:name="page41"/>
    <w:bookmarkEnd w:id="4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Audit Committee</w:t>
      </w:r>
    </w:p>
    <w:p>
      <w:pPr>
        <w:spacing w:after="0" w:line="168"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Our Audit Committee oversees and assists our board of directors in fulfilling its oversight responsibilities with respect to our accounting and financial reporting processes, including the integrity of the financial statements and other financial information provided by us to our stockholders, the public, stock exchanges and others; our compliance with legal and regulatory requirements; our independent registered public accounting firm's qualifications and independence; the audit of our financial statements; the performance of our internal audit function and independent registered public accounting firm; and the Company's cyber security program and cyber strategy-related risks. Our Audit Committee's risk oversight is discussed below beginning on page 43. Our Audit Committee charter permits the committee to form and delegate authority to subcommittees when appropriate, provided that the subcommittees are composed entirely of directors who satisfy the applicable requirement of federal securities laws as well as independence requirements of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95250</wp:posOffset>
            </wp:positionV>
            <wp:extent cx="2340610" cy="29521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40610" cy="2952115"/>
                    </a:xfrm>
                    <a:prstGeom prst="rect">
                      <a:avLst/>
                    </a:prstGeom>
                    <a:noFill/>
                  </pic:spPr>
                </pic:pic>
              </a:graphicData>
            </a:graphic>
          </wp:anchor>
        </w:drawing>
      </w:r>
    </w:p>
    <w:p>
      <w:pPr>
        <w:spacing w:after="0" w:line="133" w:lineRule="exact"/>
        <w:rPr>
          <w:sz w:val="20"/>
          <w:szCs w:val="20"/>
          <w:color w:val="auto"/>
        </w:rPr>
      </w:pPr>
    </w:p>
    <w:p>
      <w:pPr>
        <w:ind w:right="3860"/>
        <w:spacing w:after="0" w:line="258" w:lineRule="auto"/>
        <w:rPr>
          <w:sz w:val="20"/>
          <w:szCs w:val="20"/>
          <w:color w:val="auto"/>
        </w:rPr>
      </w:pPr>
      <w:r>
        <w:rPr>
          <w:rFonts w:ascii="Arial" w:cs="Arial" w:eastAsia="Arial" w:hAnsi="Arial"/>
          <w:sz w:val="12"/>
          <w:szCs w:val="12"/>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specified related-party transactions as required by the rules of the Nasdaq Stock Market, and oversees the Company's cyber security program and cyber strategy-related risks. The Audit Committee was established in accordance with Section 3(a)(58)(A) of the Securities Exchange Act of 1934 (the "Exchange Act"). Our Audit Committee annually reviews and assesses the adequacy of the Audit Committee charter and its own performance.</w:t>
      </w:r>
    </w:p>
    <w:p>
      <w:pPr>
        <w:spacing w:after="0" w:line="141" w:lineRule="exact"/>
        <w:rPr>
          <w:sz w:val="20"/>
          <w:szCs w:val="20"/>
          <w:color w:val="auto"/>
        </w:rPr>
      </w:pPr>
    </w:p>
    <w:p>
      <w:pPr>
        <w:ind w:right="4080"/>
        <w:spacing w:after="0" w:line="239" w:lineRule="auto"/>
        <w:rPr>
          <w:sz w:val="20"/>
          <w:szCs w:val="20"/>
          <w:color w:val="auto"/>
        </w:rPr>
      </w:pPr>
      <w:r>
        <w:rPr>
          <w:rFonts w:ascii="Arial" w:cs="Arial" w:eastAsia="Arial" w:hAnsi="Arial"/>
          <w:sz w:val="13"/>
          <w:szCs w:val="13"/>
          <w:color w:val="auto"/>
        </w:rPr>
        <w:t>The members of our Audit Committee are appointed by our board of directors. All members of our Audit Committee must also be recommended by our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2353945</wp:posOffset>
            </wp:positionV>
            <wp:extent cx="1408430" cy="3333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1" w:name="page42"/>
    <w:bookmarkEnd w:id="4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Nominating and Governance Committee</w:t>
      </w:r>
    </w:p>
    <w:p>
      <w:pPr>
        <w:spacing w:after="0" w:line="168" w:lineRule="exact"/>
        <w:rPr>
          <w:sz w:val="20"/>
          <w:szCs w:val="20"/>
          <w:color w:val="auto"/>
        </w:rPr>
      </w:pPr>
    </w:p>
    <w:p>
      <w:pPr>
        <w:ind w:right="40"/>
        <w:spacing w:after="0" w:line="235" w:lineRule="auto"/>
        <w:rPr>
          <w:sz w:val="20"/>
          <w:szCs w:val="20"/>
          <w:color w:val="auto"/>
        </w:rPr>
      </w:pPr>
      <w:r>
        <w:rPr>
          <w:rFonts w:ascii="Arial" w:cs="Arial" w:eastAsia="Arial" w:hAnsi="Arial"/>
          <w:sz w:val="13"/>
          <w:szCs w:val="13"/>
          <w:color w:val="auto"/>
        </w:rPr>
        <w:t>Our Nominating and Governance Committee is responsible for: (i) identifying and recommending candidates for election to our board of directors using selection criteria approved by our board of directors and overseeing board refreshment, and committee membership, (ii) developing and recommending to our board of directors Corporate Governance Guidelines and other board procedures that are applicable to us, (iii) overseeing our board of director and management evaluations and our director education program, and (iv) overseeing our ESG goals, policies and practices. Our Nominating and Governance Committee Charter permits the committee to form and delegate authority to subcommittees when appropriate, provided that the subcommittees are composed entirely of directors who satisfy the applicable independence requirements of the Nasdaq Stock Market. Until December 31, 2020, Mr. Kelso was the chair of the Nominating and Governance Committee. Mr. Sahney became the chair of the Nominating and Governance Committee on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95250</wp:posOffset>
            </wp:positionV>
            <wp:extent cx="2340610" cy="2834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40610" cy="2834640"/>
                    </a:xfrm>
                    <a:prstGeom prst="rect">
                      <a:avLst/>
                    </a:prstGeom>
                    <a:noFill/>
                  </pic:spPr>
                </pic:pic>
              </a:graphicData>
            </a:graphic>
          </wp:anchor>
        </w:drawing>
      </w:r>
    </w:p>
    <w:p>
      <w:pPr>
        <w:spacing w:after="0" w:line="133" w:lineRule="exact"/>
        <w:rPr>
          <w:sz w:val="20"/>
          <w:szCs w:val="20"/>
          <w:color w:val="auto"/>
        </w:rPr>
      </w:pPr>
    </w:p>
    <w:p>
      <w:pPr>
        <w:ind w:right="3860"/>
        <w:spacing w:after="0" w:line="237" w:lineRule="auto"/>
        <w:rPr>
          <w:sz w:val="20"/>
          <w:szCs w:val="20"/>
          <w:color w:val="auto"/>
        </w:rPr>
      </w:pPr>
      <w:r>
        <w:rPr>
          <w:rFonts w:ascii="Arial" w:cs="Arial" w:eastAsia="Arial" w:hAnsi="Arial"/>
          <w:sz w:val="13"/>
          <w:szCs w:val="13"/>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150" w:lineRule="exact"/>
        <w:rPr>
          <w:sz w:val="20"/>
          <w:szCs w:val="20"/>
          <w:color w:val="auto"/>
        </w:rPr>
      </w:pPr>
    </w:p>
    <w:p>
      <w:pPr>
        <w:ind w:right="3940"/>
        <w:spacing w:after="0" w:line="235" w:lineRule="auto"/>
        <w:rPr>
          <w:sz w:val="20"/>
          <w:szCs w:val="20"/>
          <w:color w:val="auto"/>
        </w:rPr>
      </w:pPr>
      <w:r>
        <w:rPr>
          <w:rFonts w:ascii="Arial" w:cs="Arial" w:eastAsia="Arial" w:hAnsi="Arial"/>
          <w:sz w:val="13"/>
          <w:szCs w:val="13"/>
          <w:color w:val="auto"/>
        </w:rPr>
        <w:t>Aside from its role in assessing the board, its committees and individual director effectiveness described above, our Nominating and Governance Committee, together with the Compensation Committee, provides annual reports on our CEO's performance in respect of certain goals and objectives set by the Nominating and Governance Committee and the board. Pursuant to its charter, the Nominating and Governance Committee is responsible for developing, annually reassessing and making recommendations to the board with respect to succession plans for our CEO and other key executive officers of the Company, and preparing contingency plans for interim CEO succession in the event of an unexpected occurrence for board review.</w:t>
      </w:r>
    </w:p>
    <w:p>
      <w:pPr>
        <w:spacing w:after="0" w:line="153" w:lineRule="exact"/>
        <w:rPr>
          <w:sz w:val="20"/>
          <w:szCs w:val="20"/>
          <w:color w:val="auto"/>
        </w:rPr>
      </w:pPr>
    </w:p>
    <w:p>
      <w:pPr>
        <w:ind w:right="3900"/>
        <w:spacing w:after="0" w:line="237" w:lineRule="auto"/>
        <w:rPr>
          <w:sz w:val="20"/>
          <w:szCs w:val="20"/>
          <w:color w:val="auto"/>
        </w:rPr>
      </w:pPr>
      <w:r>
        <w:rPr>
          <w:rFonts w:ascii="Arial" w:cs="Arial" w:eastAsia="Arial" w:hAnsi="Arial"/>
          <w:sz w:val="13"/>
          <w:szCs w:val="13"/>
          <w:color w:val="auto"/>
        </w:rPr>
        <w:t>The Nominating and Governance Committee also oversees our director onboarding and training program, which provides new directors with training regarding the Company's policies and procedures and specific requirements that may be needed based on the director's committee memberships.</w:t>
      </w:r>
    </w:p>
    <w:p>
      <w:pPr>
        <w:spacing w:after="0" w:line="150" w:lineRule="exact"/>
        <w:rPr>
          <w:sz w:val="20"/>
          <w:szCs w:val="20"/>
          <w:color w:val="auto"/>
        </w:rPr>
      </w:pPr>
    </w:p>
    <w:p>
      <w:pPr>
        <w:ind w:right="3860"/>
        <w:spacing w:after="0" w:line="236" w:lineRule="auto"/>
        <w:rPr>
          <w:sz w:val="20"/>
          <w:szCs w:val="20"/>
          <w:color w:val="auto"/>
        </w:rPr>
      </w:pPr>
      <w:r>
        <w:rPr>
          <w:rFonts w:ascii="Arial" w:cs="Arial" w:eastAsia="Arial" w:hAnsi="Arial"/>
          <w:sz w:val="13"/>
          <w:szCs w:val="13"/>
          <w:color w:val="auto"/>
        </w:rPr>
        <w:t>In addition, the Nominating and Governance Committee oversees and reviews the Company's ESG goals, policies and programs and the Company's corporate governance policies and practices regularly. Our Nominating and Governance Committee annually reviews and assesses the adequacy of the Nominating and Governance Committee charter and its own performance. The members of our Nominating and Governance Committee are appointed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1200150</wp:posOffset>
            </wp:positionV>
            <wp:extent cx="1408430" cy="3333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2" w:name="page43"/>
    <w:bookmarkEnd w:id="42"/>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Compensation Committee</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Our Compensation Committee reviews and recommends policies relating to compensation and benefits of our directors, officers and employees and is responsible for approving the compensation of our Vice Chairman and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Until December 31, 2020, Ms. Minto was the chair of the Compensation Committee. Ms. Studenmund became the chair of the Compensation Committee on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85725</wp:posOffset>
            </wp:positionV>
            <wp:extent cx="2340610" cy="30200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40610" cy="3020060"/>
                    </a:xfrm>
                    <a:prstGeom prst="rect">
                      <a:avLst/>
                    </a:prstGeom>
                    <a:noFill/>
                  </pic:spPr>
                </pic:pic>
              </a:graphicData>
            </a:graphic>
          </wp:anchor>
        </w:drawing>
      </w:r>
    </w:p>
    <w:p>
      <w:pPr>
        <w:spacing w:after="0" w:line="118" w:lineRule="exact"/>
        <w:rPr>
          <w:sz w:val="20"/>
          <w:szCs w:val="20"/>
          <w:color w:val="auto"/>
        </w:rPr>
      </w:pPr>
    </w:p>
    <w:p>
      <w:pPr>
        <w:ind w:right="3900"/>
        <w:spacing w:after="0" w:line="235" w:lineRule="auto"/>
        <w:rPr>
          <w:sz w:val="20"/>
          <w:szCs w:val="20"/>
          <w:color w:val="auto"/>
        </w:rPr>
      </w:pPr>
      <w:r>
        <w:rPr>
          <w:rFonts w:ascii="Arial" w:cs="Arial" w:eastAsia="Arial" w:hAnsi="Arial"/>
          <w:sz w:val="13"/>
          <w:szCs w:val="13"/>
          <w:color w:val="auto"/>
        </w:rPr>
        <w:t>Our Compensation Committee charter also permits the committee to retain advisors, consultants or other professionals to assist the Compensation Committee to evaluate director, Vice Chairman and CEO or other senior executive compensation and to carry out its duties. For 2020, our Compensation Committee retained the services of Frederick W. Cook &amp; Co., Inc. ("FW Cook"), a qualified and independent compensation consultant, to aid the Compensation Committee in performing its review of executive compensation including executive compensation benchmarking and peer group analysis. Our Compensation Committee also provides oversight with respect to diversity and equity matters as relate to compensation, including pay equity. Our Compensation Committee annually reviews and assesses the adequacy of the Compensation processes and procedures for considering executive compensation are addressed in the Compensation Discussion and Analysis below.</w:t>
      </w:r>
    </w:p>
    <w:p>
      <w:pPr>
        <w:spacing w:after="0" w:line="152" w:lineRule="exact"/>
        <w:rPr>
          <w:sz w:val="20"/>
          <w:szCs w:val="20"/>
          <w:color w:val="auto"/>
        </w:rPr>
      </w:pPr>
    </w:p>
    <w:p>
      <w:pPr>
        <w:ind w:right="4140"/>
        <w:spacing w:after="0" w:line="239" w:lineRule="auto"/>
        <w:rPr>
          <w:sz w:val="20"/>
          <w:szCs w:val="20"/>
          <w:color w:val="auto"/>
        </w:rPr>
      </w:pPr>
      <w:r>
        <w:rPr>
          <w:rFonts w:ascii="Arial" w:cs="Arial" w:eastAsia="Arial" w:hAnsi="Arial"/>
          <w:sz w:val="13"/>
          <w:szCs w:val="13"/>
          <w:color w:val="auto"/>
        </w:rPr>
        <w:t>The members of our Compensation Committee are appointed by our board of directors. All new members of our Compensation Committee must be recommended by our Nominating and Governance Committee.</w:t>
      </w:r>
    </w:p>
    <w:p>
      <w:pPr>
        <w:spacing w:after="0" w:line="150" w:lineRule="exact"/>
        <w:rPr>
          <w:sz w:val="20"/>
          <w:szCs w:val="20"/>
          <w:color w:val="auto"/>
        </w:rPr>
      </w:pPr>
    </w:p>
    <w:p>
      <w:pPr>
        <w:ind w:right="3980"/>
        <w:spacing w:after="0" w:line="239" w:lineRule="auto"/>
        <w:rPr>
          <w:sz w:val="20"/>
          <w:szCs w:val="20"/>
          <w:color w:val="auto"/>
        </w:rPr>
      </w:pPr>
      <w:r>
        <w:rPr>
          <w:rFonts w:ascii="Arial" w:cs="Arial" w:eastAsia="Arial" w:hAnsi="Arial"/>
          <w:sz w:val="13"/>
          <w:szCs w:val="13"/>
          <w:color w:val="auto"/>
        </w:rPr>
        <w:t>During 2020, none of our executive officers served as a member of the board of directors or compensation committee of any entity that has one or more executive officers who serve on our board of directors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1952625</wp:posOffset>
            </wp:positionV>
            <wp:extent cx="1408430" cy="3333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40"/>
          </w:cols>
          <w:pgMar w:left="300" w:top="142" w:right="359" w:bottom="1440" w:gutter="0" w:footer="0" w:header="0"/>
        </w:sectPr>
      </w:pPr>
    </w:p>
    <w:bookmarkStart w:id="43" w:name="page44"/>
    <w:bookmarkEnd w:id="4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BOARD AND COMMITTEE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105410</wp:posOffset>
            </wp:positionV>
            <wp:extent cx="6083935" cy="53174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83935" cy="531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4" w:name="page45"/>
    <w:bookmarkEnd w:id="44"/>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Cybersecurity Risk Management</w:t>
      </w:r>
    </w:p>
    <w:p>
      <w:pPr>
        <w:spacing w:after="0" w:line="168" w:lineRule="exact"/>
        <w:rPr>
          <w:sz w:val="20"/>
          <w:szCs w:val="20"/>
          <w:color w:val="auto"/>
        </w:rPr>
      </w:pPr>
    </w:p>
    <w:p>
      <w:pPr>
        <w:ind w:right="440"/>
        <w:spacing w:after="0" w:line="266" w:lineRule="auto"/>
        <w:rPr>
          <w:sz w:val="20"/>
          <w:szCs w:val="20"/>
          <w:color w:val="auto"/>
        </w:rPr>
      </w:pPr>
      <w:r>
        <w:rPr>
          <w:rFonts w:ascii="Arial" w:cs="Arial" w:eastAsia="Arial" w:hAnsi="Arial"/>
          <w:sz w:val="12"/>
          <w:szCs w:val="12"/>
          <w:color w:val="auto"/>
        </w:rPr>
        <w:t>We maintain a comprehensive program that focuses on information security, cybersecurity, data privacy and the protection of our clients' and their customers' confidential personal and sensitive information. Our Audit Committee has primary oversight and receives presentations throughout the year on cybersecurity-related risks and vulnerabilities and strategic policies and practices from management. At least once a year, the full board receives a report from management on the Company's readiness and capability to prevent, detect and respond to a cyber-attack.</w:t>
      </w:r>
    </w:p>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We have invested in our information security and cyber security posture and protocols to support compliance with our contractual obligations and the laws and regulations governing our activities. These investments include people, processes and technology intended to protect information throughout its life cycle. Each of our employees receives and must pass annual, mandatory knowledge and awareness training and testing on risk mitigation and management and controls and procedures relating to information security, cybersecurity and data privacy.</w:t>
      </w:r>
    </w:p>
    <w:p>
      <w:pPr>
        <w:spacing w:after="0" w:line="150" w:lineRule="exact"/>
        <w:rPr>
          <w:sz w:val="20"/>
          <w:szCs w:val="20"/>
          <w:color w:val="auto"/>
        </w:rPr>
      </w:pPr>
    </w:p>
    <w:p>
      <w:pPr>
        <w:spacing w:after="0" w:line="266" w:lineRule="auto"/>
        <w:rPr>
          <w:sz w:val="20"/>
          <w:szCs w:val="20"/>
          <w:color w:val="auto"/>
        </w:rPr>
      </w:pPr>
      <w:r>
        <w:rPr>
          <w:rFonts w:ascii="Arial" w:cs="Arial" w:eastAsia="Arial" w:hAnsi="Arial"/>
          <w:sz w:val="12"/>
          <w:szCs w:val="12"/>
          <w:color w:val="auto"/>
        </w:rPr>
        <w:t>EXL focuses on implementing and maintaining cybersecurity capabilities to identify, protect, detect, respond and recover from cyber threats, incidents and attacks; reduce vulnerabilities and minimize the impact of cyber incidents. We emphasize compliance and institutional governance built upon and supported by policies and processes, tools and technologies, and knowledge and awareness training. EXL takes into account guidance from relevant regulatory and governance bodies. For more details on our cybersecurity program, see "Sustainability — Cybersecurity at EXL" on page 56.</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Environmental, Social and Governance ("ESG") Risk Management</w:t>
      </w:r>
    </w:p>
    <w:p>
      <w:pPr>
        <w:spacing w:after="0" w:line="168" w:lineRule="exact"/>
        <w:rPr>
          <w:sz w:val="20"/>
          <w:szCs w:val="20"/>
          <w:color w:val="auto"/>
        </w:rPr>
      </w:pPr>
    </w:p>
    <w:p>
      <w:pPr>
        <w:jc w:val="both"/>
        <w:ind w:right="340"/>
        <w:spacing w:after="0" w:line="239" w:lineRule="auto"/>
        <w:rPr>
          <w:sz w:val="20"/>
          <w:szCs w:val="20"/>
          <w:color w:val="auto"/>
        </w:rPr>
      </w:pPr>
      <w:r>
        <w:rPr>
          <w:rFonts w:ascii="Arial" w:cs="Arial" w:eastAsia="Arial" w:hAnsi="Arial"/>
          <w:sz w:val="13"/>
          <w:szCs w:val="13"/>
          <w:color w:val="auto"/>
        </w:rPr>
        <w:t>Our board reviews and receives regular reports on ESG and sustainability risks, including those relating to employee safety, environmental-related efforts, human capital management matters, and corporate governance trends and best practices.</w:t>
      </w:r>
    </w:p>
    <w:p>
      <w:pPr>
        <w:spacing w:after="0" w:line="150" w:lineRule="exact"/>
        <w:rPr>
          <w:sz w:val="20"/>
          <w:szCs w:val="20"/>
          <w:color w:val="auto"/>
        </w:rPr>
      </w:pPr>
    </w:p>
    <w:p>
      <w:pPr>
        <w:jc w:val="both"/>
        <w:ind w:right="340"/>
        <w:spacing w:after="0" w:line="237" w:lineRule="auto"/>
        <w:rPr>
          <w:sz w:val="20"/>
          <w:szCs w:val="20"/>
          <w:color w:val="auto"/>
        </w:rPr>
      </w:pPr>
      <w:r>
        <w:rPr>
          <w:rFonts w:ascii="Arial" w:cs="Arial" w:eastAsia="Arial" w:hAnsi="Arial"/>
          <w:sz w:val="13"/>
          <w:szCs w:val="13"/>
          <w:color w:val="auto"/>
        </w:rPr>
        <w:t>While the Nominating and Governance Committee is responsible for overseeing our risk management related to ESG matters generally, the other board Committees share in the responsibility with respect to certain matters within their purview. The Compensation Committee deals with certain human capital management matters relating to employee compensation and benefits, and the Audit Committee is involved in regulatory risks touching on ESG matters.</w:t>
      </w:r>
    </w:p>
    <w:p>
      <w:pPr>
        <w:spacing w:after="0" w:line="150" w:lineRule="exact"/>
        <w:rPr>
          <w:sz w:val="20"/>
          <w:szCs w:val="20"/>
          <w:color w:val="auto"/>
        </w:rPr>
      </w:pPr>
    </w:p>
    <w:p>
      <w:pPr>
        <w:ind w:right="160"/>
        <w:spacing w:after="0" w:line="236" w:lineRule="auto"/>
        <w:rPr>
          <w:sz w:val="20"/>
          <w:szCs w:val="20"/>
          <w:color w:val="auto"/>
        </w:rPr>
      </w:pPr>
      <w:r>
        <w:rPr>
          <w:rFonts w:ascii="Arial" w:cs="Arial" w:eastAsia="Arial" w:hAnsi="Arial"/>
          <w:sz w:val="13"/>
          <w:szCs w:val="13"/>
          <w:color w:val="auto"/>
        </w:rPr>
        <w:t>In 2021, we established a new management-level ESG steering committee, which is responsible for setting our sustainability/ESG strategy and risk management, keeping our management and board up-to-date on ESG-related developments, overseeing our internal and external disclosure on ESG matters, and providing implementation support across our Company. The ESG steering committee works in close coordination with the board, and provides the board with advice and assistance in its oversight of ESG risks and other matters. For more details on our ESG and sustainability-related efforts, see "Sustainability" on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1408430" cy="3333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45" w:name="page46"/>
    <w:bookmarkEnd w:id="45"/>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5606415</wp:posOffset>
            </wp:positionH>
            <wp:positionV relativeFrom="paragraph">
              <wp:posOffset>105410</wp:posOffset>
            </wp:positionV>
            <wp:extent cx="1562735" cy="1562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62735" cy="156273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Our formal governance-focused stockholder outreach program commenced in late 2020, which we plan to take forward and expand in future years.</w:t>
      </w:r>
    </w:p>
    <w:p>
      <w:pPr>
        <w:spacing w:after="0" w:line="181" w:lineRule="exact"/>
        <w:rPr>
          <w:sz w:val="20"/>
          <w:szCs w:val="20"/>
          <w:color w:val="auto"/>
        </w:rPr>
      </w:pPr>
    </w:p>
    <w:p>
      <w:pPr>
        <w:ind w:right="2620"/>
        <w:spacing w:after="0" w:line="236" w:lineRule="auto"/>
        <w:rPr>
          <w:sz w:val="20"/>
          <w:szCs w:val="20"/>
          <w:color w:val="auto"/>
        </w:rPr>
      </w:pPr>
      <w:r>
        <w:rPr>
          <w:rFonts w:ascii="Arial" w:cs="Arial" w:eastAsia="Arial" w:hAnsi="Arial"/>
          <w:sz w:val="13"/>
          <w:szCs w:val="13"/>
          <w:color w:val="auto"/>
        </w:rPr>
        <w:t>As of the date hereof, we offered to meet with stockholders representing approximately 55% of shares outstanding for discussions focusing on governance topics, and engaged with all stockholders that accepted our invitation, representing nearly 22% of shares outstanding. EXL was represented by our management, members of our legal and investor relationships teams, and board members at these meetings. One of our independent directors, Mr. Pandit, attended meetings with stockholders representing nearly 19% of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Topics discussed included:</w:t>
      </w:r>
    </w:p>
    <w:p>
      <w:pPr>
        <w:spacing w:after="0" w:line="152" w:lineRule="exact"/>
        <w:rPr>
          <w:sz w:val="20"/>
          <w:szCs w:val="20"/>
          <w:color w:val="auto"/>
        </w:rPr>
      </w:pPr>
    </w:p>
    <w:p>
      <w:pPr>
        <w:ind w:left="780" w:hanging="393"/>
        <w:spacing w:after="0"/>
        <w:tabs>
          <w:tab w:leader="none" w:pos="780" w:val="left"/>
        </w:tabs>
        <w:numPr>
          <w:ilvl w:val="0"/>
          <w:numId w:val="52"/>
        </w:numPr>
        <w:rPr>
          <w:rFonts w:ascii="Arial" w:cs="Arial" w:eastAsia="Arial" w:hAnsi="Arial"/>
          <w:sz w:val="13"/>
          <w:szCs w:val="13"/>
          <w:color w:val="FF4000"/>
        </w:rPr>
      </w:pPr>
      <w:r>
        <w:rPr>
          <w:rFonts w:ascii="Arial" w:cs="Arial" w:eastAsia="Arial" w:hAnsi="Arial"/>
          <w:sz w:val="13"/>
          <w:szCs w:val="13"/>
          <w:color w:val="auto"/>
        </w:rPr>
        <w:t>Board composition and structure</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52"/>
        </w:numPr>
        <w:rPr>
          <w:rFonts w:ascii="Arial" w:cs="Arial" w:eastAsia="Arial" w:hAnsi="Arial"/>
          <w:sz w:val="13"/>
          <w:szCs w:val="13"/>
          <w:color w:val="FF4000"/>
        </w:rPr>
      </w:pPr>
      <w:r>
        <w:rPr>
          <w:rFonts w:ascii="Arial" w:cs="Arial" w:eastAsia="Arial" w:hAnsi="Arial"/>
          <w:sz w:val="13"/>
          <w:szCs w:val="13"/>
          <w:color w:val="auto"/>
        </w:rPr>
        <w:t>Executive compensation</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2"/>
        </w:numPr>
        <w:rPr>
          <w:rFonts w:ascii="Arial" w:cs="Arial" w:eastAsia="Arial" w:hAnsi="Arial"/>
          <w:sz w:val="13"/>
          <w:szCs w:val="13"/>
          <w:color w:val="FF4000"/>
        </w:rPr>
      </w:pPr>
      <w:r>
        <w:rPr>
          <w:rFonts w:ascii="Arial" w:cs="Arial" w:eastAsia="Arial" w:hAnsi="Arial"/>
          <w:sz w:val="13"/>
          <w:szCs w:val="13"/>
          <w:color w:val="auto"/>
        </w:rPr>
        <w:t>Effects of COVID-19</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2"/>
        </w:numPr>
        <w:rPr>
          <w:rFonts w:ascii="Arial" w:cs="Arial" w:eastAsia="Arial" w:hAnsi="Arial"/>
          <w:sz w:val="13"/>
          <w:szCs w:val="13"/>
          <w:color w:val="FF4000"/>
        </w:rPr>
      </w:pPr>
      <w:r>
        <w:rPr>
          <w:rFonts w:ascii="Arial" w:cs="Arial" w:eastAsia="Arial" w:hAnsi="Arial"/>
          <w:sz w:val="13"/>
          <w:szCs w:val="13"/>
          <w:color w:val="auto"/>
        </w:rPr>
        <w:t>Risk oversight</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52"/>
        </w:numPr>
        <w:rPr>
          <w:rFonts w:ascii="Arial" w:cs="Arial" w:eastAsia="Arial" w:hAnsi="Arial"/>
          <w:sz w:val="13"/>
          <w:szCs w:val="13"/>
          <w:color w:val="FF4000"/>
        </w:rPr>
      </w:pPr>
      <w:r>
        <w:rPr>
          <w:rFonts w:ascii="Arial" w:cs="Arial" w:eastAsia="Arial" w:hAnsi="Arial"/>
          <w:sz w:val="13"/>
          <w:szCs w:val="13"/>
          <w:color w:val="auto"/>
        </w:rPr>
        <w:t>Diversity, equity and inclusion efforts</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2"/>
        </w:numPr>
        <w:rPr>
          <w:rFonts w:ascii="Arial" w:cs="Arial" w:eastAsia="Arial" w:hAnsi="Arial"/>
          <w:sz w:val="13"/>
          <w:szCs w:val="13"/>
          <w:color w:val="FF4000"/>
        </w:rPr>
      </w:pPr>
      <w:r>
        <w:rPr>
          <w:rFonts w:ascii="Arial" w:cs="Arial" w:eastAsia="Arial" w:hAnsi="Arial"/>
          <w:sz w:val="13"/>
          <w:szCs w:val="13"/>
          <w:color w:val="auto"/>
        </w:rPr>
        <w:t>Environmental, social and governance efforts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EXL also regularly interacts and shares information with our stockholders through our quarterly earnings calls, investor meetings, SEC filings and publications on our website, among others.</w:t>
      </w:r>
    </w:p>
    <w:p>
      <w:pPr>
        <w:spacing w:after="0" w:line="152" w:lineRule="exact"/>
        <w:rPr>
          <w:sz w:val="20"/>
          <w:szCs w:val="20"/>
          <w:color w:val="auto"/>
        </w:rPr>
      </w:pPr>
    </w:p>
    <w:p>
      <w:pPr>
        <w:ind w:right="280"/>
        <w:spacing w:after="0" w:line="239" w:lineRule="auto"/>
        <w:rPr>
          <w:sz w:val="20"/>
          <w:szCs w:val="20"/>
          <w:color w:val="auto"/>
        </w:rPr>
      </w:pPr>
      <w:r>
        <w:rPr>
          <w:rFonts w:ascii="Arial" w:cs="Arial" w:eastAsia="Arial" w:hAnsi="Arial"/>
          <w:sz w:val="13"/>
          <w:szCs w:val="13"/>
          <w:color w:val="auto"/>
        </w:rPr>
        <w:t>The feedback received from our stockholders is shared with and reviewed by our board, which is used to inform and focus our decisions relating to our governance and sustainability practices and to improve our disclosure.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Communications with the Board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Stockholders interested in contacting our board of directors, our Chairman or any individual director are invited to do so by writing 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Board of Directors of ExlService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 Corporate Secretary</w:t>
      </w:r>
    </w:p>
    <w:p>
      <w:pPr>
        <w:jc w:val="center"/>
        <w:spacing w:after="0" w:line="233" w:lineRule="auto"/>
        <w:rPr>
          <w:sz w:val="20"/>
          <w:szCs w:val="20"/>
          <w:color w:val="auto"/>
        </w:rPr>
      </w:pPr>
      <w:r>
        <w:rPr>
          <w:rFonts w:ascii="Arial" w:cs="Arial" w:eastAsia="Arial" w:hAnsi="Arial"/>
          <w:sz w:val="13"/>
          <w:szCs w:val="13"/>
          <w:b w:val="1"/>
          <w:bCs w:val="1"/>
          <w:color w:val="auto"/>
        </w:rPr>
        <w:t>ExlService Holdings, Inc.</w:t>
      </w:r>
    </w:p>
    <w:p>
      <w:pPr>
        <w:ind w:left="4800"/>
        <w:spacing w:after="0" w:line="183" w:lineRule="auto"/>
        <w:rPr>
          <w:sz w:val="20"/>
          <w:szCs w:val="20"/>
          <w:color w:val="auto"/>
        </w:rPr>
      </w:pPr>
      <w:r>
        <w:rPr>
          <w:rFonts w:ascii="Arial" w:cs="Arial" w:eastAsia="Arial" w:hAnsi="Arial"/>
          <w:sz w:val="12"/>
          <w:szCs w:val="12"/>
          <w:b w:val="1"/>
          <w:bCs w:val="1"/>
          <w:color w:val="auto"/>
        </w:rPr>
        <w:t>320 Park Avenue, 29</w:t>
      </w:r>
      <w:r>
        <w:rPr>
          <w:rFonts w:ascii="Arial" w:cs="Arial" w:eastAsia="Arial" w:hAnsi="Arial"/>
          <w:sz w:val="20"/>
          <w:szCs w:val="20"/>
          <w:b w:val="1"/>
          <w:bCs w:val="1"/>
          <w:color w:val="auto"/>
          <w:vertAlign w:val="superscript"/>
        </w:rPr>
        <w:t>th</w:t>
      </w:r>
      <w:r>
        <w:rPr>
          <w:rFonts w:ascii="Arial" w:cs="Arial" w:eastAsia="Arial" w:hAnsi="Arial"/>
          <w:sz w:val="12"/>
          <w:szCs w:val="12"/>
          <w:b w:val="1"/>
          <w:bCs w:val="1"/>
          <w:color w:val="auto"/>
        </w:rPr>
        <w:t xml:space="preserve"> Floor</w:t>
      </w:r>
    </w:p>
    <w:p>
      <w:pPr>
        <w:ind w:left="4840"/>
        <w:spacing w:after="0"/>
        <w:rPr>
          <w:sz w:val="20"/>
          <w:szCs w:val="20"/>
          <w:color w:val="auto"/>
        </w:rPr>
      </w:pPr>
      <w:r>
        <w:rPr>
          <w:rFonts w:ascii="Arial" w:cs="Arial" w:eastAsia="Arial" w:hAnsi="Arial"/>
          <w:sz w:val="13"/>
          <w:szCs w:val="13"/>
          <w:b w:val="1"/>
          <w:bCs w:val="1"/>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193675</wp:posOffset>
            </wp:positionV>
            <wp:extent cx="1408430" cy="3333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6" w:name="page47"/>
    <w:bookmarkEnd w:id="46"/>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CORPORATE GOVERNANCE</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All other stockholder communications addressed to our board of directors will be referred to our Chairman and tracked by our Corporate Secretary. Stockholder communications specifically addressed to a particular director will be referred to that director.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Complaints and concerns relating to our accounting, internal accounting controls or auditing matters should be communicated to our Audit Committee, which consists solely of non-employee directors.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Any such communication may be anonymous and may be reported to our Audit Committee through our General Counsel by writing to:</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Audit Committee of the Board of Directors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ExlService Holdings, Inc.</w:t>
      </w:r>
    </w:p>
    <w:p>
      <w:pPr>
        <w:jc w:val="center"/>
        <w:ind w:right="-39"/>
        <w:spacing w:after="0" w:line="183" w:lineRule="auto"/>
        <w:rPr>
          <w:sz w:val="20"/>
          <w:szCs w:val="20"/>
          <w:color w:val="auto"/>
        </w:rPr>
      </w:pPr>
      <w:r>
        <w:rPr>
          <w:rFonts w:ascii="Arial" w:cs="Arial" w:eastAsia="Arial" w:hAnsi="Arial"/>
          <w:sz w:val="12"/>
          <w:szCs w:val="12"/>
          <w:b w:val="1"/>
          <w:bCs w:val="1"/>
          <w:color w:val="auto"/>
        </w:rPr>
        <w:t>320 Park Avenue, 29</w:t>
      </w:r>
      <w:r>
        <w:rPr>
          <w:rFonts w:ascii="Arial" w:cs="Arial" w:eastAsia="Arial" w:hAnsi="Arial"/>
          <w:sz w:val="20"/>
          <w:szCs w:val="20"/>
          <w:b w:val="1"/>
          <w:bCs w:val="1"/>
          <w:color w:val="auto"/>
          <w:vertAlign w:val="superscript"/>
        </w:rPr>
        <w:t>th</w:t>
      </w:r>
      <w:r>
        <w:rPr>
          <w:rFonts w:ascii="Arial" w:cs="Arial" w:eastAsia="Arial" w:hAnsi="Arial"/>
          <w:sz w:val="12"/>
          <w:szCs w:val="12"/>
          <w:b w:val="1"/>
          <w:bCs w:val="1"/>
          <w:color w:val="auto"/>
        </w:rPr>
        <w:t xml:space="preserve"> Floor</w:t>
      </w:r>
    </w:p>
    <w:p>
      <w:pPr>
        <w:jc w:val="center"/>
        <w:ind w:right="-39"/>
        <w:spacing w:after="0" w:line="234" w:lineRule="auto"/>
        <w:rPr>
          <w:sz w:val="20"/>
          <w:szCs w:val="20"/>
          <w:color w:val="auto"/>
        </w:rPr>
      </w:pPr>
      <w:r>
        <w:rPr>
          <w:rFonts w:ascii="Arial" w:cs="Arial" w:eastAsia="Arial" w:hAnsi="Arial"/>
          <w:sz w:val="13"/>
          <w:szCs w:val="13"/>
          <w:b w:val="1"/>
          <w:bCs w:val="1"/>
          <w:color w:val="auto"/>
        </w:rPr>
        <w:t>New York, New York 10022</w:t>
      </w:r>
    </w:p>
    <w:p>
      <w:pPr>
        <w:jc w:val="center"/>
        <w:ind w:right="-39"/>
        <w:spacing w:after="0"/>
        <w:rPr>
          <w:sz w:val="20"/>
          <w:szCs w:val="20"/>
          <w:color w:val="auto"/>
        </w:rPr>
      </w:pPr>
      <w:r>
        <w:rPr>
          <w:rFonts w:ascii="Arial" w:cs="Arial" w:eastAsia="Arial" w:hAnsi="Arial"/>
          <w:sz w:val="13"/>
          <w:szCs w:val="13"/>
          <w:b w:val="1"/>
          <w:bCs w:val="1"/>
          <w:color w:val="auto"/>
        </w:rPr>
        <w:t>Attn: General Counsel</w:t>
      </w:r>
    </w:p>
    <w:p>
      <w:pPr>
        <w:spacing w:after="0" w:line="152"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1408430" cy="3333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40"/>
          </w:cols>
          <w:pgMar w:left="300" w:top="142" w:right="359" w:bottom="1440" w:gutter="0" w:footer="0" w:header="0"/>
        </w:sectPr>
      </w:pPr>
    </w:p>
    <w:bookmarkStart w:id="47" w:name="page48"/>
    <w:bookmarkEnd w:id="47"/>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SUSTAINABILITY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SUSTAINABILITY</w:t>
      </w:r>
    </w:p>
    <w:p>
      <w:pPr>
        <w:spacing w:after="0" w:line="180"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In line with our mission of digging deeper to find a better way for our clients, at EXL we are committed to doing our part as a global citizen to build a better future for us all by operating in a responsible and sustainable manner. We believe that by integrating sustainable practices into our business model, working toward positive social change, and providing transparent reporting on those practices and our progress, we will best able to deliver long-term value to our stockholders while promoting and developing our business, people, communities and the world around us.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Recent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In 2020 and continuing into 2021, we have taken a number of steps to continue improving and formalizing our sustainability program. These recent activities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95250</wp:posOffset>
            </wp:positionV>
            <wp:extent cx="6046470" cy="36499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46470" cy="3649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105410</wp:posOffset>
            </wp:positionV>
            <wp:extent cx="4910455" cy="3465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10455" cy="346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We support our employees' charitable efforts by enabling payroll giving, recognizing social impact through individual, geography and business unit awards, organizing social responsibility events in each region in which we operate and creating "volunteer weeks" that our employees can use for volunteer efforts.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partner with non-profits and our clients to support corporate social responsibility initiatives, in education and skills, global health and disaster relief.</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b w:val="1"/>
          <w:bCs w:val="1"/>
          <w:color w:val="auto"/>
        </w:rPr>
        <w:t>In 2020, we additionally focused on COVID-19 relief-related contributions through a global network of partners across seven of the countries in which we operate, reaching approximately 78,000 beneficifiaries.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182880</wp:posOffset>
            </wp:positionV>
            <wp:extent cx="1408430" cy="3333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20"/>
          </w:cols>
          <w:pgMar w:left="300" w:top="142" w:right="379" w:bottom="1440" w:gutter="0" w:footer="0" w:header="0"/>
        </w:sectPr>
      </w:pPr>
    </w:p>
    <w:bookmarkStart w:id="49" w:name="page50"/>
    <w:bookmarkEnd w:id="4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SUSTAINABILITY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Protecting our Planet</w:t>
      </w:r>
    </w:p>
    <w:p>
      <w:pPr>
        <w:spacing w:after="0" w:line="168" w:lineRule="exact"/>
        <w:rPr>
          <w:sz w:val="20"/>
          <w:szCs w:val="20"/>
          <w:color w:val="auto"/>
        </w:rPr>
      </w:pPr>
    </w:p>
    <w:p>
      <w:pPr>
        <w:ind w:right="460"/>
        <w:spacing w:after="0" w:line="239" w:lineRule="auto"/>
        <w:rPr>
          <w:sz w:val="20"/>
          <w:szCs w:val="20"/>
          <w:color w:val="auto"/>
        </w:rPr>
      </w:pPr>
      <w:r>
        <w:rPr>
          <w:rFonts w:ascii="Arial" w:cs="Arial" w:eastAsia="Arial" w:hAnsi="Arial"/>
          <w:sz w:val="13"/>
          <w:szCs w:val="13"/>
          <w:color w:val="auto"/>
        </w:rPr>
        <w:t>At EXL, we endeavor to keep the environmental impact of our operations to a minimum. We strive to continuously improve in our environmental stewardship, with a focus on energy conservation, minimizing waste, and developing green infrastructure and operations, all in order to reduce our carbon footprint across our global operations.</w:t>
      </w:r>
    </w:p>
    <w:p>
      <w:pPr>
        <w:spacing w:after="0" w:line="150" w:lineRule="exact"/>
        <w:rPr>
          <w:sz w:val="20"/>
          <w:szCs w:val="20"/>
          <w:color w:val="auto"/>
        </w:rPr>
      </w:pPr>
    </w:p>
    <w:p>
      <w:pPr>
        <w:ind w:right="40"/>
        <w:spacing w:after="0" w:line="237" w:lineRule="auto"/>
        <w:rPr>
          <w:sz w:val="20"/>
          <w:szCs w:val="20"/>
          <w:color w:val="auto"/>
        </w:rPr>
      </w:pPr>
      <w:r>
        <w:rPr>
          <w:rFonts w:ascii="Arial" w:cs="Arial" w:eastAsia="Arial" w:hAnsi="Arial"/>
          <w:sz w:val="13"/>
          <w:szCs w:val="13"/>
          <w:color w:val="auto"/>
        </w:rPr>
        <w:t>We have committed ourselves to year-on-year targets for reducing our environmental footprint our baseline numbers. We began this process in 2017, with respect to our India and Philipplines operations only, and began recording data and applying our year-on-year targets to our global operations using 2019 as a baseline. The targets, and our progress through 2019 with respect to our India and Philippines operations are as stated in the following table. We expect to report our global progress in our 2020 Annual Sustainability Report to be published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93980</wp:posOffset>
            </wp:positionV>
            <wp:extent cx="5960110" cy="37801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011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0" w:name="page51"/>
    <w:bookmarkEnd w:id="5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105410</wp:posOffset>
            </wp:positionV>
            <wp:extent cx="4749800" cy="28162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49800" cy="281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These goals are assessed by our Environment, Health and Safety team periodically, as well as third-party experts, and our progress is reported to our ESG steering committee, management and board for review. We report our progress toward these goals annually in our Annual Sustainability Report.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Sustainable Supply Chain</w:t>
      </w:r>
    </w:p>
    <w:p>
      <w:pPr>
        <w:spacing w:after="0" w:line="168"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We conduct background investigations of all of our new suppliers to collect information on their policies and performance relating to economic and environmental matters, as well as human rights, data privacy, product safety and working conditions. Through our Supplier Standards of Conduct, we maintain the right to review our suppliers' practices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We seek to procure our materials from local suppliers, to the extent feasible.</w:t>
      </w:r>
    </w:p>
    <w:p>
      <w:pPr>
        <w:spacing w:after="0" w:line="152" w:lineRule="exact"/>
        <w:rPr>
          <w:sz w:val="20"/>
          <w:szCs w:val="20"/>
          <w:color w:val="auto"/>
        </w:rPr>
      </w:pPr>
    </w:p>
    <w:p>
      <w:pPr>
        <w:ind w:right="460"/>
        <w:spacing w:after="0" w:line="239" w:lineRule="auto"/>
        <w:rPr>
          <w:sz w:val="20"/>
          <w:szCs w:val="20"/>
          <w:color w:val="auto"/>
        </w:rPr>
      </w:pPr>
      <w:r>
        <w:rPr>
          <w:rFonts w:ascii="Arial" w:cs="Arial" w:eastAsia="Arial" w:hAnsi="Arial"/>
          <w:sz w:val="13"/>
          <w:szCs w:val="13"/>
          <w:color w:val="auto"/>
        </w:rPr>
        <w:t>Our supplier diversity programs ensure that suppliers of diverse backgrounds can participate in our procurement sourcing process and encourages engagement with suppliers owned by people belonging to minority groups, women, the gay, lesbian, bisexual and transgender community, and veterans, specially-abled people, and small business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180"/>
          </w:cols>
          <w:pgMar w:left="300" w:top="142" w:right="419" w:bottom="1440" w:gutter="0" w:footer="0" w:header="0"/>
        </w:sectPr>
      </w:pPr>
    </w:p>
    <w:bookmarkStart w:id="51" w:name="page52"/>
    <w:bookmarkEnd w:id="5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SUSTAINABILITY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Supporting and Developing our People</w:t>
      </w:r>
    </w:p>
    <w:p>
      <w:pPr>
        <w:spacing w:after="0" w:line="168" w:lineRule="exact"/>
        <w:rPr>
          <w:sz w:val="20"/>
          <w:szCs w:val="20"/>
          <w:color w:val="auto"/>
        </w:rPr>
      </w:pPr>
    </w:p>
    <w:p>
      <w:pPr>
        <w:ind w:right="180"/>
        <w:spacing w:after="0" w:line="236" w:lineRule="auto"/>
        <w:rPr>
          <w:sz w:val="20"/>
          <w:szCs w:val="20"/>
          <w:color w:val="auto"/>
        </w:rPr>
      </w:pPr>
      <w:r>
        <w:rPr>
          <w:rFonts w:ascii="Arial" w:cs="Arial" w:eastAsia="Arial" w:hAnsi="Arial"/>
          <w:sz w:val="13"/>
          <w:szCs w:val="13"/>
          <w:color w:val="auto"/>
        </w:rPr>
        <w:t>Our people are our primary assets. The world we work and live in is full of diversity and powered by innovation. We believe success in such a world will come through an environment that embraces diversity of thought. In line with our core values, one of our principal priorities is promoting the talent of our employees while creating an inclusive work environment to permit us to leverage our employees' diversity and to deliver exceptional results for our clients. We have an active employee relations function to ensure that we regularly communicate with and understand our employees, and are able to swiftly respond to specific needs and concerns as they arise. We periodically conduct employee surveys to monitor our employee satisfaction and engagement, and take actions to address the results of such surveys.</w:t>
      </w:r>
    </w:p>
    <w:p>
      <w:pPr>
        <w:spacing w:after="0" w:line="150"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EXL is made up of approximately 31,600 professionals (as of March 31, 2021) in locations throughout the United States, the United Kingdom, Europe, India, the Philippines, Colombia, Canada, Australia and South Africa.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FF4000"/>
        </w:rPr>
        <w:t>EXL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211455</wp:posOffset>
            </wp:positionV>
            <wp:extent cx="5873750" cy="25323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73750" cy="2532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2" w:name="page53"/>
    <w:bookmarkEnd w:id="52"/>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SUSTAINABILITY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Diversity, Equity and Inclusion</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Our Diversity and Inclusion Council consists of a global, diverse mix of leaders, provides inputs to the design of our diversity and inclusion program to bring in diverse perspectives, collaborates with external partners for customization inputs, conducts periodic reviews of the progress of our program and provides execution leadership for specific diversity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5842635" cy="6009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42635" cy="6009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0980"/>
          </w:cols>
          <w:pgMar w:left="300" w:top="142" w:right="619" w:bottom="1440" w:gutter="0" w:footer="0" w:header="0"/>
        </w:sectPr>
      </w:pPr>
    </w:p>
    <w:bookmarkStart w:id="53" w:name="page54"/>
    <w:bookmarkEnd w:id="5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105410</wp:posOffset>
            </wp:positionV>
            <wp:extent cx="5002530" cy="25260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02530" cy="252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80"/>
        <w:spacing w:after="0" w:line="264" w:lineRule="auto"/>
        <w:rPr>
          <w:sz w:val="20"/>
          <w:szCs w:val="20"/>
          <w:color w:val="auto"/>
        </w:rPr>
      </w:pPr>
      <w:r>
        <w:rPr>
          <w:rFonts w:ascii="Arial" w:cs="Arial" w:eastAsia="Arial" w:hAnsi="Arial"/>
          <w:sz w:val="13"/>
          <w:szCs w:val="13"/>
          <w:b w:val="1"/>
          <w:bCs w:val="1"/>
          <w:color w:val="auto"/>
        </w:rPr>
        <w:t>We have institutionalized a comprehensive set of practices, processes and programs to create an active learning culture and to build market-relevant talent within our Company in four stages:</w:t>
      </w:r>
    </w:p>
    <w:p>
      <w:pPr>
        <w:spacing w:after="0" w:line="119" w:lineRule="exact"/>
        <w:rPr>
          <w:sz w:val="20"/>
          <w:szCs w:val="20"/>
          <w:color w:val="auto"/>
        </w:rPr>
      </w:pPr>
    </w:p>
    <w:p>
      <w:pPr>
        <w:ind w:left="780" w:hanging="393"/>
        <w:spacing w:after="0"/>
        <w:tabs>
          <w:tab w:leader="none" w:pos="780" w:val="left"/>
        </w:tabs>
        <w:numPr>
          <w:ilvl w:val="0"/>
          <w:numId w:val="53"/>
        </w:numPr>
        <w:rPr>
          <w:rFonts w:ascii="Arial" w:cs="Arial" w:eastAsia="Arial" w:hAnsi="Arial"/>
          <w:sz w:val="13"/>
          <w:szCs w:val="13"/>
          <w:color w:val="FF4000"/>
        </w:rPr>
      </w:pPr>
      <w:r>
        <w:rPr>
          <w:rFonts w:ascii="Arial" w:cs="Arial" w:eastAsia="Arial" w:hAnsi="Arial"/>
          <w:sz w:val="13"/>
          <w:szCs w:val="13"/>
          <w:b w:val="1"/>
          <w:bCs w:val="1"/>
          <w:color w:val="FF4000"/>
        </w:rPr>
        <w:t xml:space="preserve">Prejoining: </w:t>
      </w:r>
      <w:r>
        <w:rPr>
          <w:rFonts w:ascii="Arial" w:cs="Arial" w:eastAsia="Arial" w:hAnsi="Arial"/>
          <w:sz w:val="13"/>
          <w:szCs w:val="13"/>
          <w:color w:val="000000"/>
        </w:rPr>
        <w:t>Assessments, development on online learning platforms</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53"/>
        </w:numPr>
        <w:rPr>
          <w:rFonts w:ascii="Arial" w:cs="Arial" w:eastAsia="Arial" w:hAnsi="Arial"/>
          <w:sz w:val="13"/>
          <w:szCs w:val="13"/>
          <w:color w:val="FF4000"/>
        </w:rPr>
      </w:pPr>
      <w:r>
        <w:rPr>
          <w:rFonts w:ascii="Arial" w:cs="Arial" w:eastAsia="Arial" w:hAnsi="Arial"/>
          <w:sz w:val="13"/>
          <w:szCs w:val="13"/>
          <w:b w:val="1"/>
          <w:bCs w:val="1"/>
          <w:color w:val="FF4000"/>
        </w:rPr>
        <w:t xml:space="preserve">Onboarding: </w:t>
      </w:r>
      <w:r>
        <w:rPr>
          <w:rFonts w:ascii="Arial" w:cs="Arial" w:eastAsia="Arial" w:hAnsi="Arial"/>
          <w:sz w:val="13"/>
          <w:szCs w:val="13"/>
          <w:color w:val="000000"/>
        </w:rPr>
        <w:t>Company orientation, trainings and informal team meetings</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3"/>
        </w:numPr>
        <w:rPr>
          <w:rFonts w:ascii="Arial" w:cs="Arial" w:eastAsia="Arial" w:hAnsi="Arial"/>
          <w:sz w:val="13"/>
          <w:szCs w:val="13"/>
          <w:color w:val="FF4000"/>
        </w:rPr>
      </w:pPr>
      <w:r>
        <w:rPr>
          <w:rFonts w:ascii="Arial" w:cs="Arial" w:eastAsia="Arial" w:hAnsi="Arial"/>
          <w:sz w:val="13"/>
          <w:szCs w:val="13"/>
          <w:b w:val="1"/>
          <w:bCs w:val="1"/>
          <w:color w:val="FF4000"/>
        </w:rPr>
        <w:t xml:space="preserve">Job Readiness: </w:t>
      </w:r>
      <w:r>
        <w:rPr>
          <w:rFonts w:ascii="Arial" w:cs="Arial" w:eastAsia="Arial" w:hAnsi="Arial"/>
          <w:sz w:val="13"/>
          <w:szCs w:val="13"/>
          <w:color w:val="000000"/>
        </w:rPr>
        <w:t>Education on client processes, tools and technologies, communication effectiveness and cultural sensitivity</w:t>
      </w:r>
    </w:p>
    <w:p>
      <w:pPr>
        <w:spacing w:after="0" w:line="142" w:lineRule="exact"/>
        <w:rPr>
          <w:rFonts w:ascii="Arial" w:cs="Arial" w:eastAsia="Arial" w:hAnsi="Arial"/>
          <w:sz w:val="13"/>
          <w:szCs w:val="13"/>
          <w:color w:val="FF4000"/>
        </w:rPr>
      </w:pPr>
    </w:p>
    <w:p>
      <w:pPr>
        <w:ind w:left="780" w:right="280" w:hanging="393"/>
        <w:spacing w:after="0" w:line="264" w:lineRule="auto"/>
        <w:tabs>
          <w:tab w:leader="none" w:pos="780" w:val="left"/>
        </w:tabs>
        <w:numPr>
          <w:ilvl w:val="0"/>
          <w:numId w:val="53"/>
        </w:numPr>
        <w:rPr>
          <w:rFonts w:ascii="Arial" w:cs="Arial" w:eastAsia="Arial" w:hAnsi="Arial"/>
          <w:sz w:val="13"/>
          <w:szCs w:val="13"/>
          <w:color w:val="FF4000"/>
        </w:rPr>
      </w:pPr>
      <w:r>
        <w:rPr>
          <w:rFonts w:ascii="Arial" w:cs="Arial" w:eastAsia="Arial" w:hAnsi="Arial"/>
          <w:sz w:val="13"/>
          <w:szCs w:val="13"/>
          <w:b w:val="1"/>
          <w:bCs w:val="1"/>
          <w:color w:val="FF4000"/>
        </w:rPr>
        <w:t xml:space="preserve">Ongoing Development: </w:t>
      </w:r>
      <w:r>
        <w:rPr>
          <w:rFonts w:ascii="Arial" w:cs="Arial" w:eastAsia="Arial" w:hAnsi="Arial"/>
          <w:sz w:val="13"/>
          <w:szCs w:val="13"/>
          <w:color w:val="000000"/>
        </w:rPr>
        <w:t>Continue formal learning activities, on the job, supervisor feedback and coaching, regular talent reviews and talent inventory succession, leadership training to</w:t>
      </w:r>
      <w:r>
        <w:rPr>
          <w:rFonts w:ascii="Arial" w:cs="Arial" w:eastAsia="Arial" w:hAnsi="Arial"/>
          <w:sz w:val="13"/>
          <w:szCs w:val="13"/>
          <w:b w:val="1"/>
          <w:bCs w:val="1"/>
          <w:color w:val="FF4000"/>
        </w:rPr>
        <w:t xml:space="preserve"> </w:t>
      </w:r>
      <w:r>
        <w:rPr>
          <w:rFonts w:ascii="Arial" w:cs="Arial" w:eastAsia="Arial" w:hAnsi="Arial"/>
          <w:sz w:val="13"/>
          <w:szCs w:val="13"/>
          <w:color w:val="000000"/>
        </w:rPr>
        <w:t>identify and develop new leaders</w:t>
      </w:r>
    </w:p>
    <w:p>
      <w:pPr>
        <w:spacing w:after="0" w:line="119" w:lineRule="exact"/>
        <w:rPr>
          <w:sz w:val="20"/>
          <w:szCs w:val="20"/>
          <w:color w:val="auto"/>
        </w:rPr>
      </w:pPr>
    </w:p>
    <w:p>
      <w:pPr>
        <w:ind w:right="100"/>
        <w:spacing w:after="0" w:line="249" w:lineRule="auto"/>
        <w:rPr>
          <w:sz w:val="20"/>
          <w:szCs w:val="20"/>
          <w:color w:val="auto"/>
        </w:rPr>
      </w:pPr>
      <w:r>
        <w:rPr>
          <w:rFonts w:ascii="Arial" w:cs="Arial" w:eastAsia="Arial" w:hAnsi="Arial"/>
          <w:sz w:val="13"/>
          <w:szCs w:val="13"/>
          <w:b w:val="1"/>
          <w:bCs w:val="1"/>
          <w:color w:val="auto"/>
        </w:rPr>
        <w:t xml:space="preserve">Our capability development framework is focused on developing our employees' digital and domain expertise </w:t>
      </w:r>
      <w:r>
        <w:rPr>
          <w:rFonts w:ascii="Arial" w:cs="Arial" w:eastAsia="Arial" w:hAnsi="Arial"/>
          <w:sz w:val="13"/>
          <w:szCs w:val="13"/>
          <w:color w:val="auto"/>
        </w:rPr>
        <w:t>and leadership as a means to develop our talent internally. We do this through our</w:t>
      </w:r>
      <w:r>
        <w:rPr>
          <w:rFonts w:ascii="Arial" w:cs="Arial" w:eastAsia="Arial" w:hAnsi="Arial"/>
          <w:sz w:val="13"/>
          <w:szCs w:val="13"/>
          <w:b w:val="1"/>
          <w:bCs w:val="1"/>
          <w:color w:val="auto"/>
        </w:rPr>
        <w:t xml:space="preserve"> </w:t>
      </w:r>
      <w:r>
        <w:rPr>
          <w:rFonts w:ascii="Arial" w:cs="Arial" w:eastAsia="Arial" w:hAnsi="Arial"/>
          <w:sz w:val="13"/>
          <w:szCs w:val="13"/>
          <w:color w:val="auto"/>
        </w:rPr>
        <w:t>learning academies, and through partnerships with industry organizations, institutes, business schools and consulting firms. In 2020, in light of COVID-19, we introduced a new capability ecosystem to deliver learning virtually from any location,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188595</wp:posOffset>
            </wp:positionV>
            <wp:extent cx="1408430" cy="3333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4" w:name="page55"/>
    <w:bookmarkEnd w:id="54"/>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SUSTAINABILITY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Academies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105410</wp:posOffset>
            </wp:positionV>
            <wp:extent cx="5002530" cy="11918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0253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2020 Training</w:t>
      </w:r>
    </w:p>
    <w:p>
      <w:pPr>
        <w:spacing w:after="0" w:line="152" w:lineRule="exact"/>
        <w:rPr>
          <w:sz w:val="20"/>
          <w:szCs w:val="20"/>
          <w:color w:val="auto"/>
        </w:rPr>
      </w:pPr>
    </w:p>
    <w:p>
      <w:pPr>
        <w:ind w:left="780" w:hanging="393"/>
        <w:spacing w:after="0"/>
        <w:tabs>
          <w:tab w:leader="none" w:pos="780" w:val="left"/>
        </w:tabs>
        <w:numPr>
          <w:ilvl w:val="0"/>
          <w:numId w:val="54"/>
        </w:numPr>
        <w:rPr>
          <w:rFonts w:ascii="Arial" w:cs="Arial" w:eastAsia="Arial" w:hAnsi="Arial"/>
          <w:sz w:val="13"/>
          <w:szCs w:val="13"/>
          <w:color w:val="FF4000"/>
        </w:rPr>
      </w:pPr>
      <w:r>
        <w:rPr>
          <w:rFonts w:ascii="Arial" w:cs="Arial" w:eastAsia="Arial" w:hAnsi="Arial"/>
          <w:sz w:val="13"/>
          <w:szCs w:val="13"/>
          <w:b w:val="1"/>
          <w:bCs w:val="1"/>
          <w:color w:val="auto"/>
        </w:rPr>
        <w:t xml:space="preserve">22,800 </w:t>
      </w:r>
      <w:r>
        <w:rPr>
          <w:rFonts w:ascii="Arial" w:cs="Arial" w:eastAsia="Arial" w:hAnsi="Arial"/>
          <w:sz w:val="13"/>
          <w:szCs w:val="13"/>
          <w:color w:val="auto"/>
        </w:rPr>
        <w:t>employees trained in digital methodologies and domain information</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54"/>
        </w:numPr>
        <w:rPr>
          <w:rFonts w:ascii="Arial" w:cs="Arial" w:eastAsia="Arial" w:hAnsi="Arial"/>
          <w:sz w:val="13"/>
          <w:szCs w:val="13"/>
          <w:color w:val="FF4000"/>
        </w:rPr>
      </w:pPr>
      <w:r>
        <w:rPr>
          <w:rFonts w:ascii="Arial" w:cs="Arial" w:eastAsia="Arial" w:hAnsi="Arial"/>
          <w:sz w:val="13"/>
          <w:szCs w:val="13"/>
          <w:b w:val="1"/>
          <w:bCs w:val="1"/>
          <w:color w:val="auto"/>
        </w:rPr>
        <w:t xml:space="preserve">1.2 million </w:t>
      </w:r>
      <w:r>
        <w:rPr>
          <w:rFonts w:ascii="Arial" w:cs="Arial" w:eastAsia="Arial" w:hAnsi="Arial"/>
          <w:sz w:val="13"/>
          <w:szCs w:val="13"/>
          <w:color w:val="auto"/>
        </w:rPr>
        <w:t>hours spent by our employees on trainings</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4"/>
        </w:numPr>
        <w:rPr>
          <w:rFonts w:ascii="Arial" w:cs="Arial" w:eastAsia="Arial" w:hAnsi="Arial"/>
          <w:sz w:val="13"/>
          <w:szCs w:val="13"/>
          <w:color w:val="FF4000"/>
        </w:rPr>
      </w:pPr>
      <w:r>
        <w:rPr>
          <w:rFonts w:ascii="Arial" w:cs="Arial" w:eastAsia="Arial" w:hAnsi="Arial"/>
          <w:sz w:val="13"/>
          <w:szCs w:val="13"/>
          <w:b w:val="1"/>
          <w:bCs w:val="1"/>
          <w:color w:val="auto"/>
        </w:rPr>
        <w:t xml:space="preserve">390,000 </w:t>
      </w:r>
      <w:r>
        <w:rPr>
          <w:rFonts w:ascii="Arial" w:cs="Arial" w:eastAsia="Arial" w:hAnsi="Arial"/>
          <w:sz w:val="13"/>
          <w:szCs w:val="13"/>
          <w:color w:val="auto"/>
        </w:rPr>
        <w:t>courses and certifications completed by our employees</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4"/>
        </w:numPr>
        <w:rPr>
          <w:rFonts w:ascii="Arial" w:cs="Arial" w:eastAsia="Arial" w:hAnsi="Arial"/>
          <w:sz w:val="13"/>
          <w:szCs w:val="13"/>
          <w:color w:val="FF4000"/>
        </w:rPr>
      </w:pPr>
      <w:r>
        <w:rPr>
          <w:rFonts w:ascii="Arial" w:cs="Arial" w:eastAsia="Arial" w:hAnsi="Arial"/>
          <w:sz w:val="13"/>
          <w:szCs w:val="13"/>
          <w:b w:val="1"/>
          <w:bCs w:val="1"/>
          <w:color w:val="auto"/>
        </w:rPr>
        <w:t xml:space="preserve">260 </w:t>
      </w:r>
      <w:r>
        <w:rPr>
          <w:rFonts w:ascii="Arial" w:cs="Arial" w:eastAsia="Arial" w:hAnsi="Arial"/>
          <w:sz w:val="13"/>
          <w:szCs w:val="13"/>
          <w:color w:val="auto"/>
        </w:rPr>
        <w:t>employees trained and certified in "Leading in a Virtual Environment"</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54"/>
        </w:numPr>
        <w:rPr>
          <w:rFonts w:ascii="Arial" w:cs="Arial" w:eastAsia="Arial" w:hAnsi="Arial"/>
          <w:sz w:val="13"/>
          <w:szCs w:val="13"/>
          <w:color w:val="FF4000"/>
        </w:rPr>
      </w:pPr>
      <w:r>
        <w:rPr>
          <w:rFonts w:ascii="Arial" w:cs="Arial" w:eastAsia="Arial" w:hAnsi="Arial"/>
          <w:sz w:val="13"/>
          <w:szCs w:val="13"/>
          <w:b w:val="1"/>
          <w:bCs w:val="1"/>
          <w:color w:val="auto"/>
        </w:rPr>
        <w:t xml:space="preserve">3,080 </w:t>
      </w:r>
      <w:r>
        <w:rPr>
          <w:rFonts w:ascii="Arial" w:cs="Arial" w:eastAsia="Arial" w:hAnsi="Arial"/>
          <w:sz w:val="13"/>
          <w:szCs w:val="13"/>
          <w:color w:val="auto"/>
        </w:rPr>
        <w:t>employees trained in analytics, artificial intelligence, cloud tools and technologies and data management</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4"/>
        </w:numPr>
        <w:rPr>
          <w:rFonts w:ascii="Arial" w:cs="Arial" w:eastAsia="Arial" w:hAnsi="Arial"/>
          <w:sz w:val="13"/>
          <w:szCs w:val="13"/>
          <w:color w:val="FF4000"/>
        </w:rPr>
      </w:pPr>
      <w:r>
        <w:rPr>
          <w:rFonts w:ascii="Arial" w:cs="Arial" w:eastAsia="Arial" w:hAnsi="Arial"/>
          <w:sz w:val="13"/>
          <w:szCs w:val="13"/>
          <w:b w:val="1"/>
          <w:bCs w:val="1"/>
          <w:color w:val="auto"/>
        </w:rPr>
        <w:t xml:space="preserve">1,600 </w:t>
      </w:r>
      <w:r>
        <w:rPr>
          <w:rFonts w:ascii="Arial" w:cs="Arial" w:eastAsia="Arial" w:hAnsi="Arial"/>
          <w:sz w:val="13"/>
          <w:szCs w:val="13"/>
          <w:color w:val="auto"/>
        </w:rPr>
        <w:t>employees trained on agile and design thinking</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4"/>
        </w:numPr>
        <w:rPr>
          <w:rFonts w:ascii="Arial" w:cs="Arial" w:eastAsia="Arial" w:hAnsi="Arial"/>
          <w:sz w:val="13"/>
          <w:szCs w:val="13"/>
          <w:color w:val="FF4000"/>
        </w:rPr>
      </w:pPr>
      <w:r>
        <w:rPr>
          <w:rFonts w:ascii="Arial" w:cs="Arial" w:eastAsia="Arial" w:hAnsi="Arial"/>
          <w:sz w:val="13"/>
          <w:szCs w:val="13"/>
          <w:b w:val="1"/>
          <w:bCs w:val="1"/>
          <w:color w:val="auto"/>
        </w:rPr>
        <w:t xml:space="preserve">42 </w:t>
      </w:r>
      <w:r>
        <w:rPr>
          <w:rFonts w:ascii="Arial" w:cs="Arial" w:eastAsia="Arial" w:hAnsi="Arial"/>
          <w:sz w:val="13"/>
          <w:szCs w:val="13"/>
          <w:color w:val="auto"/>
        </w:rPr>
        <w:t>trained on virtual selling capabilities</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54"/>
        </w:numPr>
        <w:rPr>
          <w:rFonts w:ascii="Arial" w:cs="Arial" w:eastAsia="Arial" w:hAnsi="Arial"/>
          <w:sz w:val="12"/>
          <w:szCs w:val="12"/>
          <w:color w:val="FF4000"/>
        </w:rPr>
      </w:pPr>
      <w:r>
        <w:rPr>
          <w:rFonts w:ascii="Arial" w:cs="Arial" w:eastAsia="Arial" w:hAnsi="Arial"/>
          <w:sz w:val="12"/>
          <w:szCs w:val="12"/>
          <w:b w:val="1"/>
          <w:bCs w:val="1"/>
          <w:color w:val="auto"/>
        </w:rPr>
        <w:t xml:space="preserve">4,500 </w:t>
      </w:r>
      <w:r>
        <w:rPr>
          <w:rFonts w:ascii="Arial" w:cs="Arial" w:eastAsia="Arial" w:hAnsi="Arial"/>
          <w:sz w:val="12"/>
          <w:szCs w:val="12"/>
          <w:color w:val="auto"/>
        </w:rPr>
        <w:t>employees engaged in learning, research and internal projects when not enabled to work from home from April to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211455</wp:posOffset>
            </wp:positionV>
            <wp:extent cx="1408430" cy="3333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0159"/>
          </w:cols>
          <w:pgMar w:left="300" w:top="142" w:right="1440"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SUSTAINABILITY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105410</wp:posOffset>
            </wp:positionV>
            <wp:extent cx="185420" cy="1854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Enhanced leave for employees impacted by COVID-19 and for employees receiving COVID-19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156845</wp:posOffset>
            </wp:positionV>
            <wp:extent cx="185420" cy="1854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Paid leave for U.S. new parents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156845</wp:posOffset>
            </wp:positionV>
            <wp:extent cx="185420" cy="1854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Excused days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156845</wp:posOffset>
            </wp:positionV>
            <wp:extent cx="185420" cy="1854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Generous vacation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156845</wp:posOffset>
            </wp:positionV>
            <wp:extent cx="185420" cy="1854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Paid holidays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156845</wp:posOffset>
            </wp:positionV>
            <wp:extent cx="185420" cy="1854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Employee Assistance Program providing confidential counseling services</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Our employees also participate in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95250</wp:posOffset>
            </wp:positionV>
            <wp:extent cx="185420" cy="1854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Annual bonuses or incentives: 100% of our employees are eligible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156845</wp:posOffset>
            </wp:positionV>
            <wp:extent cx="185420" cy="1854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401K plans with Company match: 100% of our U.S. employees are eligible to enroll within three months of their employment at EXL</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 Health and Safety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In 2020, given COVID-19, approximately 92% of our employees worked from home. We took actions that focused on helping our employees, including:</w:t>
      </w:r>
    </w:p>
    <w:p>
      <w:pPr>
        <w:spacing w:after="0" w:line="152" w:lineRule="exact"/>
        <w:rPr>
          <w:sz w:val="20"/>
          <w:szCs w:val="20"/>
          <w:color w:val="auto"/>
        </w:rPr>
      </w:pPr>
    </w:p>
    <w:p>
      <w:pPr>
        <w:ind w:left="780" w:hanging="393"/>
        <w:spacing w:after="0"/>
        <w:tabs>
          <w:tab w:leader="none" w:pos="780" w:val="left"/>
        </w:tabs>
        <w:numPr>
          <w:ilvl w:val="0"/>
          <w:numId w:val="55"/>
        </w:numPr>
        <w:rPr>
          <w:rFonts w:ascii="Arial" w:cs="Arial" w:eastAsia="Arial" w:hAnsi="Arial"/>
          <w:sz w:val="13"/>
          <w:szCs w:val="13"/>
          <w:color w:val="FF4000"/>
        </w:rPr>
      </w:pPr>
      <w:r>
        <w:rPr>
          <w:rFonts w:ascii="Arial" w:cs="Arial" w:eastAsia="Arial" w:hAnsi="Arial"/>
          <w:sz w:val="13"/>
          <w:szCs w:val="13"/>
          <w:color w:val="auto"/>
        </w:rPr>
        <w:t>disseminating guidance and information to our employees regarding COVID-19-related health protocols</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55"/>
        </w:numPr>
        <w:rPr>
          <w:rFonts w:ascii="Arial" w:cs="Arial" w:eastAsia="Arial" w:hAnsi="Arial"/>
          <w:sz w:val="13"/>
          <w:szCs w:val="13"/>
          <w:color w:val="FF4000"/>
        </w:rPr>
      </w:pPr>
      <w:r>
        <w:rPr>
          <w:rFonts w:ascii="Arial" w:cs="Arial" w:eastAsia="Arial" w:hAnsi="Arial"/>
          <w:sz w:val="13"/>
          <w:szCs w:val="13"/>
          <w:color w:val="auto"/>
        </w:rPr>
        <w:t>facilitating work from home, including specific trainings on work from home best practices</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5"/>
        </w:numPr>
        <w:rPr>
          <w:rFonts w:ascii="Arial" w:cs="Arial" w:eastAsia="Arial" w:hAnsi="Arial"/>
          <w:sz w:val="13"/>
          <w:szCs w:val="13"/>
          <w:color w:val="FF4000"/>
        </w:rPr>
      </w:pPr>
      <w:r>
        <w:rPr>
          <w:rFonts w:ascii="Arial" w:cs="Arial" w:eastAsia="Arial" w:hAnsi="Arial"/>
          <w:sz w:val="13"/>
          <w:szCs w:val="13"/>
          <w:color w:val="auto"/>
        </w:rPr>
        <w:t>regular virtual town hall meetings, periodic CEO messaging, and virtual team building exercises</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5"/>
        </w:numPr>
        <w:rPr>
          <w:rFonts w:ascii="Arial" w:cs="Arial" w:eastAsia="Arial" w:hAnsi="Arial"/>
          <w:sz w:val="13"/>
          <w:szCs w:val="13"/>
          <w:color w:val="FF4000"/>
        </w:rPr>
      </w:pPr>
      <w:r>
        <w:rPr>
          <w:rFonts w:ascii="Arial" w:cs="Arial" w:eastAsia="Arial" w:hAnsi="Arial"/>
          <w:sz w:val="13"/>
          <w:szCs w:val="13"/>
          <w:color w:val="auto"/>
        </w:rPr>
        <w:t>various programs aimed at employee wellness, including a global wellness program</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55"/>
        </w:numPr>
        <w:rPr>
          <w:rFonts w:ascii="Arial" w:cs="Arial" w:eastAsia="Arial" w:hAnsi="Arial"/>
          <w:sz w:val="13"/>
          <w:szCs w:val="13"/>
          <w:color w:val="FF4000"/>
        </w:rPr>
      </w:pPr>
      <w:r>
        <w:rPr>
          <w:rFonts w:ascii="Arial" w:cs="Arial" w:eastAsia="Arial" w:hAnsi="Arial"/>
          <w:sz w:val="13"/>
          <w:szCs w:val="13"/>
          <w:color w:val="auto"/>
        </w:rPr>
        <w:t>broad travel restrictions and virtual-only events</w:t>
      </w:r>
    </w:p>
    <w:p>
      <w:pPr>
        <w:spacing w:after="0" w:line="142" w:lineRule="exact"/>
        <w:rPr>
          <w:rFonts w:ascii="Arial" w:cs="Arial" w:eastAsia="Arial" w:hAnsi="Arial"/>
          <w:sz w:val="13"/>
          <w:szCs w:val="13"/>
          <w:color w:val="FF4000"/>
        </w:rPr>
      </w:pPr>
    </w:p>
    <w:p>
      <w:pPr>
        <w:ind w:left="780" w:right="280" w:hanging="393"/>
        <w:spacing w:after="0" w:line="239" w:lineRule="auto"/>
        <w:tabs>
          <w:tab w:leader="none" w:pos="780" w:val="left"/>
        </w:tabs>
        <w:numPr>
          <w:ilvl w:val="0"/>
          <w:numId w:val="55"/>
        </w:numPr>
        <w:rPr>
          <w:rFonts w:ascii="Arial" w:cs="Arial" w:eastAsia="Arial" w:hAnsi="Arial"/>
          <w:sz w:val="13"/>
          <w:szCs w:val="13"/>
          <w:color w:val="FF4000"/>
        </w:rPr>
      </w:pPr>
      <w:r>
        <w:rPr>
          <w:rFonts w:ascii="Arial" w:cs="Arial" w:eastAsia="Arial" w:hAnsi="Arial"/>
          <w:sz w:val="13"/>
          <w:szCs w:val="13"/>
          <w:color w:val="auto"/>
        </w:rPr>
        <w:t>COVID-19-specific protocols for our essential employees whose jobs require them to be on-site or with our customers by implementing additional safety measures at all of our facilities, including increased frequency in cleaning and disinfecting, and enhanced hygiene and social distancing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192405</wp:posOffset>
            </wp:positionV>
            <wp:extent cx="1408430" cy="3333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6" w:name="page57"/>
    <w:bookmarkEnd w:id="56"/>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SUSTAINABILITY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Cybersecurity at EXL</w:t>
      </w:r>
    </w:p>
    <w:p>
      <w:pPr>
        <w:spacing w:after="0" w:line="168" w:lineRule="exact"/>
        <w:rPr>
          <w:sz w:val="20"/>
          <w:szCs w:val="20"/>
          <w:color w:val="auto"/>
        </w:rPr>
      </w:pPr>
    </w:p>
    <w:p>
      <w:pPr>
        <w:ind w:right="180"/>
        <w:spacing w:after="0" w:line="237" w:lineRule="auto"/>
        <w:rPr>
          <w:sz w:val="20"/>
          <w:szCs w:val="20"/>
          <w:color w:val="auto"/>
        </w:rPr>
      </w:pPr>
      <w:r>
        <w:rPr>
          <w:rFonts w:ascii="Arial" w:cs="Arial" w:eastAsia="Arial" w:hAnsi="Arial"/>
          <w:sz w:val="13"/>
          <w:szCs w:val="13"/>
          <w:color w:val="auto"/>
        </w:rPr>
        <w:t>We are committed to protecting the confidentiality, integrity, availability and privacy of the information assets of our clients and their customers, as well as our employees, vendors and any other third parties, that are provided to us and for which we are responsible and have developed robust information security and cybersecurity and data privacy controls, safeguards and enabling measures in accordance with applicable laws and regulations and information security standards.</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We have implemented and maintain, and regularly improve upon, tools and capabilities to identify, protect, detect, respond and recover from cyber threats, incidents and attacks; reduce vulnerabilities; and minimize the impact from cyber incidents. We have an established culture of compliance around cybersecurity matters, and have a strong governance program built upon and supported by policies and processes, tools and technologies, and periodic knowledge and awareness training. Each of our employees receives and must pass annual, mandatory periodic knowledge and awareness training and testing on risk mitigation and management and controls and procedures relating to information security, cybersecurity and data privacy.</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We comply with and/or are certified in the following standards:</w:t>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1760" w:type="dxa"/>
            <w:vAlign w:val="bottom"/>
          </w:tcPr>
          <w:p>
            <w:pPr>
              <w:jc w:val="center"/>
              <w:ind w:right="437"/>
              <w:spacing w:after="0"/>
              <w:rPr>
                <w:sz w:val="20"/>
                <w:szCs w:val="20"/>
                <w:color w:val="auto"/>
              </w:rPr>
            </w:pPr>
            <w:r>
              <w:rPr>
                <w:rFonts w:ascii="Arial" w:cs="Arial" w:eastAsia="Arial" w:hAnsi="Arial"/>
                <w:sz w:val="13"/>
                <w:szCs w:val="13"/>
                <w:b w:val="1"/>
                <w:bCs w:val="1"/>
                <w:color w:val="auto"/>
                <w:w w:val="98"/>
              </w:rPr>
              <w:t>SO 27001:2013</w:t>
            </w: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96"/>
              </w:rPr>
              <w:t>PCI DSS 3.2.1</w:t>
            </w:r>
          </w:p>
        </w:tc>
        <w:tc>
          <w:tcPr>
            <w:tcW w:w="2260" w:type="dxa"/>
            <w:vAlign w:val="bottom"/>
            <w:gridSpan w:val="2"/>
          </w:tcPr>
          <w:p>
            <w:pPr>
              <w:ind w:left="560"/>
              <w:spacing w:after="0"/>
              <w:rPr>
                <w:sz w:val="20"/>
                <w:szCs w:val="20"/>
                <w:color w:val="auto"/>
              </w:rPr>
            </w:pPr>
            <w:r>
              <w:rPr>
                <w:rFonts w:ascii="Arial" w:cs="Arial" w:eastAsia="Arial" w:hAnsi="Arial"/>
                <w:sz w:val="13"/>
                <w:szCs w:val="13"/>
                <w:b w:val="1"/>
                <w:bCs w:val="1"/>
                <w:color w:val="auto"/>
              </w:rPr>
              <w:t>SOX 404 / SSAE 16,</w:t>
            </w:r>
          </w:p>
        </w:tc>
        <w:tc>
          <w:tcPr>
            <w:tcW w:w="2360" w:type="dxa"/>
            <w:vAlign w:val="bottom"/>
          </w:tcPr>
          <w:p>
            <w:pPr>
              <w:ind w:left="520"/>
              <w:spacing w:after="0"/>
              <w:rPr>
                <w:sz w:val="20"/>
                <w:szCs w:val="20"/>
                <w:color w:val="auto"/>
              </w:rPr>
            </w:pPr>
            <w:r>
              <w:rPr>
                <w:rFonts w:ascii="Arial" w:cs="Arial" w:eastAsia="Arial" w:hAnsi="Arial"/>
                <w:sz w:val="13"/>
                <w:szCs w:val="13"/>
                <w:b w:val="1"/>
                <w:bCs w:val="1"/>
                <w:color w:val="auto"/>
              </w:rPr>
              <w:t>Hitrust Certification —</w:t>
            </w:r>
          </w:p>
        </w:tc>
        <w:tc>
          <w:tcPr>
            <w:tcW w:w="1820" w:type="dxa"/>
            <w:vAlign w:val="bottom"/>
          </w:tcPr>
          <w:p>
            <w:pPr>
              <w:jc w:val="center"/>
              <w:ind w:left="437"/>
              <w:spacing w:after="0"/>
              <w:rPr>
                <w:sz w:val="20"/>
                <w:szCs w:val="20"/>
                <w:color w:val="auto"/>
              </w:rPr>
            </w:pPr>
            <w:r>
              <w:rPr>
                <w:rFonts w:ascii="Arial" w:cs="Arial" w:eastAsia="Arial" w:hAnsi="Arial"/>
                <w:sz w:val="13"/>
                <w:szCs w:val="13"/>
                <w:b w:val="1"/>
                <w:bCs w:val="1"/>
                <w:color w:val="auto"/>
                <w:w w:val="95"/>
              </w:rPr>
              <w:t>ISO22301</w:t>
            </w:r>
          </w:p>
        </w:tc>
      </w:tr>
      <w:tr>
        <w:trPr>
          <w:trHeight w:val="146"/>
        </w:trPr>
        <w:tc>
          <w:tcPr>
            <w:tcW w:w="1760" w:type="dxa"/>
            <w:vAlign w:val="bottom"/>
          </w:tcPr>
          <w:p>
            <w:pPr>
              <w:jc w:val="center"/>
              <w:ind w:right="437"/>
              <w:spacing w:after="0" w:line="146" w:lineRule="exact"/>
              <w:rPr>
                <w:sz w:val="20"/>
                <w:szCs w:val="20"/>
                <w:color w:val="auto"/>
              </w:rPr>
            </w:pPr>
            <w:r>
              <w:rPr>
                <w:rFonts w:ascii="Arial" w:cs="Arial" w:eastAsia="Arial" w:hAnsi="Arial"/>
                <w:sz w:val="13"/>
                <w:szCs w:val="13"/>
                <w:b w:val="1"/>
                <w:bCs w:val="1"/>
                <w:color w:val="auto"/>
                <w:w w:val="98"/>
              </w:rPr>
              <w:t>Global Information</w:t>
            </w:r>
          </w:p>
        </w:tc>
        <w:tc>
          <w:tcPr>
            <w:tcW w:w="23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Credit Card and</w:t>
            </w:r>
          </w:p>
        </w:tc>
        <w:tc>
          <w:tcPr>
            <w:tcW w:w="160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SOC 1 and SOC 2</w:t>
            </w:r>
          </w:p>
        </w:tc>
        <w:tc>
          <w:tcPr>
            <w:tcW w:w="66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w:t>
            </w:r>
          </w:p>
        </w:tc>
        <w:tc>
          <w:tcPr>
            <w:tcW w:w="2360" w:type="dxa"/>
            <w:vAlign w:val="bottom"/>
          </w:tcPr>
          <w:p>
            <w:pPr>
              <w:ind w:left="540"/>
              <w:spacing w:after="0" w:line="146" w:lineRule="exact"/>
              <w:rPr>
                <w:sz w:val="20"/>
                <w:szCs w:val="20"/>
                <w:color w:val="auto"/>
              </w:rPr>
            </w:pPr>
            <w:r>
              <w:rPr>
                <w:rFonts w:ascii="Arial" w:cs="Arial" w:eastAsia="Arial" w:hAnsi="Arial"/>
                <w:sz w:val="13"/>
                <w:szCs w:val="13"/>
                <w:b w:val="1"/>
                <w:bCs w:val="1"/>
                <w:color w:val="auto"/>
              </w:rPr>
              <w:t>healthcare operations</w:t>
            </w:r>
          </w:p>
        </w:tc>
        <w:tc>
          <w:tcPr>
            <w:tcW w:w="1820" w:type="dxa"/>
            <w:vAlign w:val="bottom"/>
          </w:tcPr>
          <w:p>
            <w:pPr>
              <w:jc w:val="center"/>
              <w:ind w:left="437"/>
              <w:spacing w:after="0" w:line="146" w:lineRule="exact"/>
              <w:rPr>
                <w:sz w:val="20"/>
                <w:szCs w:val="20"/>
                <w:color w:val="auto"/>
              </w:rPr>
            </w:pPr>
            <w:r>
              <w:rPr>
                <w:rFonts w:ascii="Arial" w:cs="Arial" w:eastAsia="Arial" w:hAnsi="Arial"/>
                <w:sz w:val="13"/>
                <w:szCs w:val="13"/>
                <w:b w:val="1"/>
                <w:bCs w:val="1"/>
                <w:color w:val="auto"/>
                <w:w w:val="98"/>
              </w:rPr>
              <w:t>Business Resiliency</w:t>
            </w:r>
          </w:p>
        </w:tc>
      </w:tr>
      <w:tr>
        <w:trPr>
          <w:trHeight w:val="146"/>
        </w:trPr>
        <w:tc>
          <w:tcPr>
            <w:tcW w:w="1760" w:type="dxa"/>
            <w:vAlign w:val="bottom"/>
          </w:tcPr>
          <w:p>
            <w:pPr>
              <w:jc w:val="center"/>
              <w:ind w:right="437"/>
              <w:spacing w:after="0" w:line="146" w:lineRule="exact"/>
              <w:rPr>
                <w:sz w:val="20"/>
                <w:szCs w:val="20"/>
                <w:color w:val="auto"/>
              </w:rPr>
            </w:pPr>
            <w:r>
              <w:rPr>
                <w:rFonts w:ascii="Arial" w:cs="Arial" w:eastAsia="Arial" w:hAnsi="Arial"/>
                <w:sz w:val="13"/>
                <w:szCs w:val="13"/>
                <w:b w:val="1"/>
                <w:bCs w:val="1"/>
                <w:color w:val="auto"/>
                <w:w w:val="98"/>
              </w:rPr>
              <w:t>Security Standard —</w:t>
            </w:r>
          </w:p>
        </w:tc>
        <w:tc>
          <w:tcPr>
            <w:tcW w:w="23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Payment Industry</w:t>
            </w:r>
          </w:p>
        </w:tc>
        <w:tc>
          <w:tcPr>
            <w:tcW w:w="160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Company-wide</w:t>
            </w:r>
          </w:p>
        </w:tc>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20" w:type="dxa"/>
            <w:vAlign w:val="bottom"/>
          </w:tcPr>
          <w:p>
            <w:pPr>
              <w:jc w:val="center"/>
              <w:ind w:left="437"/>
              <w:spacing w:after="0" w:line="146" w:lineRule="exact"/>
              <w:rPr>
                <w:sz w:val="20"/>
                <w:szCs w:val="20"/>
                <w:color w:val="auto"/>
              </w:rPr>
            </w:pPr>
            <w:r>
              <w:rPr>
                <w:rFonts w:ascii="Arial" w:cs="Arial" w:eastAsia="Arial" w:hAnsi="Arial"/>
                <w:sz w:val="13"/>
                <w:szCs w:val="13"/>
                <w:b w:val="1"/>
                <w:bCs w:val="1"/>
                <w:color w:val="auto"/>
                <w:w w:val="98"/>
              </w:rPr>
              <w:t>Certification — India,</w:t>
            </w:r>
          </w:p>
        </w:tc>
      </w:tr>
      <w:tr>
        <w:trPr>
          <w:trHeight w:val="146"/>
        </w:trPr>
        <w:tc>
          <w:tcPr>
            <w:tcW w:w="1760" w:type="dxa"/>
            <w:vAlign w:val="bottom"/>
          </w:tcPr>
          <w:p>
            <w:pPr>
              <w:jc w:val="center"/>
              <w:ind w:right="437"/>
              <w:spacing w:after="0" w:line="146" w:lineRule="exact"/>
              <w:rPr>
                <w:sz w:val="20"/>
                <w:szCs w:val="20"/>
                <w:color w:val="auto"/>
              </w:rPr>
            </w:pPr>
            <w:r>
              <w:rPr>
                <w:rFonts w:ascii="Arial" w:cs="Arial" w:eastAsia="Arial" w:hAnsi="Arial"/>
                <w:sz w:val="13"/>
                <w:szCs w:val="13"/>
                <w:b w:val="1"/>
                <w:bCs w:val="1"/>
                <w:color w:val="auto"/>
                <w:w w:val="97"/>
              </w:rPr>
              <w:t>Company-wide</w:t>
            </w:r>
          </w:p>
        </w:tc>
        <w:tc>
          <w:tcPr>
            <w:tcW w:w="23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Certification — India,</w:t>
            </w:r>
          </w:p>
        </w:tc>
        <w:tc>
          <w:tcPr>
            <w:tcW w:w="1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20" w:type="dxa"/>
            <w:vAlign w:val="bottom"/>
          </w:tcPr>
          <w:p>
            <w:pPr>
              <w:jc w:val="center"/>
              <w:ind w:left="437"/>
              <w:spacing w:after="0" w:line="146" w:lineRule="exact"/>
              <w:rPr>
                <w:sz w:val="20"/>
                <w:szCs w:val="20"/>
                <w:color w:val="auto"/>
              </w:rPr>
            </w:pPr>
            <w:r>
              <w:rPr>
                <w:rFonts w:ascii="Arial" w:cs="Arial" w:eastAsia="Arial" w:hAnsi="Arial"/>
                <w:sz w:val="13"/>
                <w:szCs w:val="13"/>
                <w:b w:val="1"/>
                <w:bCs w:val="1"/>
                <w:color w:val="auto"/>
                <w:w w:val="96"/>
              </w:rPr>
              <w:t>Philippines and South</w:t>
            </w:r>
          </w:p>
        </w:tc>
      </w:tr>
      <w:tr>
        <w:trPr>
          <w:trHeight w:val="146"/>
        </w:trPr>
        <w:tc>
          <w:tcPr>
            <w:tcW w:w="1760" w:type="dxa"/>
            <w:vAlign w:val="bottom"/>
          </w:tcPr>
          <w:p>
            <w:pPr>
              <w:spacing w:after="0"/>
              <w:rPr>
                <w:sz w:val="12"/>
                <w:szCs w:val="12"/>
                <w:color w:val="auto"/>
              </w:rPr>
            </w:pPr>
          </w:p>
        </w:tc>
        <w:tc>
          <w:tcPr>
            <w:tcW w:w="23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Philippines and South</w:t>
            </w:r>
          </w:p>
        </w:tc>
        <w:tc>
          <w:tcPr>
            <w:tcW w:w="1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20" w:type="dxa"/>
            <w:vAlign w:val="bottom"/>
          </w:tcPr>
          <w:p>
            <w:pPr>
              <w:jc w:val="center"/>
              <w:ind w:left="437"/>
              <w:spacing w:after="0" w:line="146" w:lineRule="exact"/>
              <w:rPr>
                <w:sz w:val="20"/>
                <w:szCs w:val="20"/>
                <w:color w:val="auto"/>
              </w:rPr>
            </w:pPr>
            <w:r>
              <w:rPr>
                <w:rFonts w:ascii="Arial" w:cs="Arial" w:eastAsia="Arial" w:hAnsi="Arial"/>
                <w:sz w:val="13"/>
                <w:szCs w:val="13"/>
                <w:b w:val="1"/>
                <w:bCs w:val="1"/>
                <w:color w:val="auto"/>
                <w:w w:val="97"/>
              </w:rPr>
              <w:t>Africa operations</w:t>
            </w:r>
          </w:p>
        </w:tc>
      </w:tr>
      <w:tr>
        <w:trPr>
          <w:trHeight w:val="168"/>
        </w:trPr>
        <w:tc>
          <w:tcPr>
            <w:tcW w:w="17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97"/>
              </w:rPr>
              <w:t>Africa operations</w:t>
            </w:r>
          </w:p>
        </w:tc>
        <w:tc>
          <w:tcPr>
            <w:tcW w:w="1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spacing w:after="0" w:line="149"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 xml:space="preserve">For more information on our cybersecurity risk management, please see "Cybersecurity Risk Management" on page 44. For more information on our information security and data privacy procedures, please refer to our Sustainability Report, which is available on our website at </w:t>
      </w:r>
      <w:r>
        <w:rPr>
          <w:rFonts w:ascii="Arial" w:cs="Arial" w:eastAsia="Arial" w:hAnsi="Arial"/>
          <w:sz w:val="13"/>
          <w:szCs w:val="13"/>
          <w:u w:val="single" w:color="auto"/>
          <w:color w:val="479EFF"/>
        </w:rPr>
        <w:t>www.exlservice.com/corporate-sustainability</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180"/>
          </w:cols>
          <w:pgMar w:left="300" w:top="142" w:right="419"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105410</wp:posOffset>
            </wp:positionV>
            <wp:extent cx="6059170" cy="64046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59170" cy="640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58" w:name="page59"/>
    <w:bookmarkEnd w:id="5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SUSTAINABILITY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Environmental, Social and Governance Matters and Pay-for-Performance at EXL</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A portion of our CEO's total compensation is tied to the achievement of specific performance goals relating to ESG matters. For more information, see "Detailed Review of Compensation Components — Incentive Bonus — Determination of Individual Performance Measure Achievement" on page 78.</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Sustainability Oversight</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For more information on our oversight of sustainability and ESG-related matters and risks, see "Environmental, Social and Governance Risk Management" on page 44.</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Learn More about Sustainability and Environmental, Social and Governance Matters at EXL</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Please visit www.exlservice.com/corporate-sustainability to learn more about our efforts toward sustainability and the impacts we are making on our communities and the environment. Information on our website referred to in this proxy statement does not constitute a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59" w:name="page60"/>
    <w:bookmarkEnd w:id="5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OUR EXECUTIVE OFFICERS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OUR EXECUTIVE OFFICERS</w:t>
      </w:r>
    </w:p>
    <w:p>
      <w:pPr>
        <w:spacing w:after="0" w:line="164"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FF4000"/>
        </w:rPr>
        <w:t xml:space="preserve">Rohit Kapoor </w:t>
      </w:r>
      <w:r>
        <w:rPr>
          <w:rFonts w:ascii="Arial" w:cs="Arial" w:eastAsia="Arial" w:hAnsi="Arial"/>
          <w:sz w:val="13"/>
          <w:szCs w:val="13"/>
          <w:b w:val="1"/>
          <w:bCs w:val="1"/>
          <w:color w:val="000000"/>
        </w:rPr>
        <w:t>(age 56)</w:t>
      </w:r>
      <w:r>
        <w:rPr>
          <w:rFonts w:ascii="Arial" w:cs="Arial" w:eastAsia="Arial" w:hAnsi="Arial"/>
          <w:sz w:val="13"/>
          <w:szCs w:val="13"/>
          <w:b w:val="1"/>
          <w:bCs w:val="1"/>
          <w:color w:val="FF4000"/>
        </w:rPr>
        <w:t xml:space="preserve"> </w:t>
      </w:r>
      <w:r>
        <w:rPr>
          <w:rFonts w:ascii="Arial" w:cs="Arial" w:eastAsia="Arial" w:hAnsi="Arial"/>
          <w:sz w:val="13"/>
          <w:szCs w:val="13"/>
          <w:b w:val="1"/>
          <w:bCs w:val="1"/>
          <w:color w:val="479EFF"/>
        </w:rPr>
        <w:t>|</w:t>
      </w:r>
      <w:r>
        <w:rPr>
          <w:rFonts w:ascii="Arial" w:cs="Arial" w:eastAsia="Arial" w:hAnsi="Arial"/>
          <w:sz w:val="13"/>
          <w:szCs w:val="13"/>
          <w:b w:val="1"/>
          <w:bCs w:val="1"/>
          <w:color w:val="FF4000"/>
        </w:rPr>
        <w:t xml:space="preserve"> </w:t>
      </w:r>
      <w:r>
        <w:rPr>
          <w:rFonts w:ascii="Arial" w:cs="Arial" w:eastAsia="Arial" w:hAnsi="Arial"/>
          <w:sz w:val="13"/>
          <w:szCs w:val="13"/>
          <w:b w:val="1"/>
          <w:bCs w:val="1"/>
          <w:i w:val="1"/>
          <w:iCs w:val="1"/>
          <w:color w:val="000000"/>
        </w:rPr>
        <w:t>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666750" cy="6667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66750" cy="6667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See section entitled "Our Board of Directors"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FF4000"/>
        </w:rPr>
        <w:t xml:space="preserve">Ajay Ayyappan </w:t>
      </w:r>
      <w:r>
        <w:rPr>
          <w:rFonts w:ascii="Arial" w:cs="Arial" w:eastAsia="Arial" w:hAnsi="Arial"/>
          <w:sz w:val="13"/>
          <w:szCs w:val="13"/>
          <w:color w:val="000000"/>
        </w:rPr>
        <w:t>(age 43)</w:t>
      </w:r>
      <w:r>
        <w:rPr>
          <w:rFonts w:ascii="Arial" w:cs="Arial" w:eastAsia="Arial" w:hAnsi="Arial"/>
          <w:sz w:val="13"/>
          <w:szCs w:val="13"/>
          <w:b w:val="1"/>
          <w:bCs w:val="1"/>
          <w:color w:val="FF4000"/>
        </w:rPr>
        <w:t xml:space="preserve"> </w:t>
      </w:r>
      <w:r>
        <w:rPr>
          <w:rFonts w:ascii="Arial" w:cs="Arial" w:eastAsia="Arial" w:hAnsi="Arial"/>
          <w:sz w:val="13"/>
          <w:szCs w:val="13"/>
          <w:color w:val="479EFF"/>
        </w:rPr>
        <w:t>|</w:t>
      </w:r>
      <w:r>
        <w:rPr>
          <w:rFonts w:ascii="Arial" w:cs="Arial" w:eastAsia="Arial" w:hAnsi="Arial"/>
          <w:sz w:val="13"/>
          <w:szCs w:val="13"/>
          <w:b w:val="1"/>
          <w:bCs w:val="1"/>
          <w:color w:val="FF4000"/>
        </w:rPr>
        <w:t xml:space="preserve"> </w:t>
      </w:r>
      <w:r>
        <w:rPr>
          <w:rFonts w:ascii="Arial" w:cs="Arial" w:eastAsia="Arial" w:hAnsi="Arial"/>
          <w:sz w:val="13"/>
          <w:szCs w:val="13"/>
          <w:b w:val="1"/>
          <w:bCs w:val="1"/>
          <w:i w:val="1"/>
          <w:iCs w:val="1"/>
          <w:color w:val="000000"/>
        </w:rPr>
        <w:t>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666750" cy="6667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66750" cy="666750"/>
                    </a:xfrm>
                    <a:prstGeom prst="rect">
                      <a:avLst/>
                    </a:prstGeom>
                    <a:noFill/>
                  </pic:spPr>
                </pic:pic>
              </a:graphicData>
            </a:graphic>
          </wp:anchor>
        </w:drawing>
      </w:r>
    </w:p>
    <w:p>
      <w:pPr>
        <w:ind w:left="1400" w:right="180"/>
        <w:spacing w:after="0" w:line="236" w:lineRule="auto"/>
        <w:rPr>
          <w:sz w:val="20"/>
          <w:szCs w:val="20"/>
          <w:color w:val="auto"/>
        </w:rPr>
      </w:pPr>
      <w:r>
        <w:rPr>
          <w:rFonts w:ascii="Arial" w:cs="Arial" w:eastAsia="Arial" w:hAnsi="Arial"/>
          <w:sz w:val="13"/>
          <w:szCs w:val="13"/>
          <w:color w:val="auto"/>
        </w:rPr>
        <w:t>Mr. Ayyappan has served as our Senior Vice President, General Counsel and Corporate Secretary since December 2018 and our Vice President, Acting General Counsel and Corporate Secretary since August 2018. He previously served as Vice President, Deputy General Counsel and Assistant Secretary from April 2014 to August 2018 and Vice President and Assistant General Counsel from March 2007 to March 2014. Prior to joining us, Mr. Ayyappan was a corporate associate at the law firm of Morgan, Lewis &amp; Bockius LLP.</w:t>
      </w:r>
    </w:p>
    <w:p>
      <w:pPr>
        <w:spacing w:after="0" w:line="200" w:lineRule="exact"/>
        <w:rPr>
          <w:sz w:val="20"/>
          <w:szCs w:val="20"/>
          <w:color w:val="auto"/>
        </w:rPr>
      </w:pPr>
    </w:p>
    <w:p>
      <w:pPr>
        <w:spacing w:after="0" w:line="276"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FF4000"/>
        </w:rPr>
        <w:t xml:space="preserve">Pavan Bagai </w:t>
      </w:r>
      <w:r>
        <w:rPr>
          <w:rFonts w:ascii="Arial" w:cs="Arial" w:eastAsia="Arial" w:hAnsi="Arial"/>
          <w:sz w:val="13"/>
          <w:szCs w:val="13"/>
          <w:color w:val="000000"/>
        </w:rPr>
        <w:t>(age 59)</w:t>
      </w:r>
      <w:r>
        <w:rPr>
          <w:rFonts w:ascii="Arial" w:cs="Arial" w:eastAsia="Arial" w:hAnsi="Arial"/>
          <w:sz w:val="13"/>
          <w:szCs w:val="13"/>
          <w:b w:val="1"/>
          <w:bCs w:val="1"/>
          <w:color w:val="FF4000"/>
        </w:rPr>
        <w:t xml:space="preserve"> </w:t>
      </w:r>
      <w:r>
        <w:rPr>
          <w:rFonts w:ascii="Arial" w:cs="Arial" w:eastAsia="Arial" w:hAnsi="Arial"/>
          <w:sz w:val="13"/>
          <w:szCs w:val="13"/>
          <w:b w:val="1"/>
          <w:bCs w:val="1"/>
          <w:color w:val="479EFF"/>
        </w:rPr>
        <w:t>|</w:t>
      </w:r>
      <w:r>
        <w:rPr>
          <w:rFonts w:ascii="Arial" w:cs="Arial" w:eastAsia="Arial" w:hAnsi="Arial"/>
          <w:sz w:val="13"/>
          <w:szCs w:val="13"/>
          <w:b w:val="1"/>
          <w:bCs w:val="1"/>
          <w:color w:val="FF4000"/>
        </w:rPr>
        <w:t xml:space="preserve"> </w:t>
      </w:r>
      <w:r>
        <w:rPr>
          <w:rFonts w:ascii="Arial" w:cs="Arial" w:eastAsia="Arial" w:hAnsi="Arial"/>
          <w:sz w:val="13"/>
          <w:szCs w:val="13"/>
          <w:b w:val="1"/>
          <w:bCs w:val="1"/>
          <w:i w:val="1"/>
          <w:iCs w:val="1"/>
          <w:color w:val="000000"/>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666750" cy="6667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66750" cy="666750"/>
                    </a:xfrm>
                    <a:prstGeom prst="rect">
                      <a:avLst/>
                    </a:prstGeom>
                    <a:noFill/>
                  </pic:spPr>
                </pic:pic>
              </a:graphicData>
            </a:graphic>
          </wp:anchor>
        </w:drawing>
      </w:r>
    </w:p>
    <w:p>
      <w:pPr>
        <w:ind w:left="1400" w:right="120"/>
        <w:spacing w:after="0" w:line="235" w:lineRule="auto"/>
        <w:rPr>
          <w:sz w:val="20"/>
          <w:szCs w:val="20"/>
          <w:color w:val="auto"/>
        </w:rPr>
      </w:pPr>
      <w:r>
        <w:rPr>
          <w:rFonts w:ascii="Arial" w:cs="Arial" w:eastAsia="Arial" w:hAnsi="Arial"/>
          <w:sz w:val="13"/>
          <w:szCs w:val="13"/>
          <w:color w:val="auto"/>
        </w:rPr>
        <w:t>Mr. Bagai has served as our President and Chief Operating Officer since April 2012, as our Chief Operating Officer from May 2008 to March 2012 and as Vice President, Head of Outsourcing Services of EXL India from June 2006 until April 2008. In addition, he served as our interim Chief Financial Officer from December 2019 through February 2020. He previously served as Vice President, Research and Analytics of EXL India from December 2004 to May 2006, as Vice President, Operations of EXL India from November 2003 to November 2004 and as Vice President, Strategic Businesses of EXL India from July 2002 to November 2003. Prior to joining us, Mr. Bagai served in various capacities in several business areas across markets in Europe and Asia, including India, at Bank of America beginning in 1985. Mr. Bagai is based in Delhi, India. On April 16, 2021, Mr. Bagai notified the Company that he will be retiring effective October 1, 2021.</w:t>
      </w:r>
    </w:p>
    <w:p>
      <w:pPr>
        <w:spacing w:after="0" w:line="185"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FF4000"/>
        </w:rPr>
        <w:t xml:space="preserve">Vikas Bhalla </w:t>
      </w:r>
      <w:r>
        <w:rPr>
          <w:rFonts w:ascii="Arial" w:cs="Arial" w:eastAsia="Arial" w:hAnsi="Arial"/>
          <w:sz w:val="13"/>
          <w:szCs w:val="13"/>
          <w:color w:val="000000"/>
        </w:rPr>
        <w:t>(age 49)</w:t>
      </w:r>
      <w:r>
        <w:rPr>
          <w:rFonts w:ascii="Arial" w:cs="Arial" w:eastAsia="Arial" w:hAnsi="Arial"/>
          <w:sz w:val="13"/>
          <w:szCs w:val="13"/>
          <w:b w:val="1"/>
          <w:bCs w:val="1"/>
          <w:color w:val="FF4000"/>
        </w:rPr>
        <w:t xml:space="preserve"> </w:t>
      </w:r>
      <w:r>
        <w:rPr>
          <w:rFonts w:ascii="Arial" w:cs="Arial" w:eastAsia="Arial" w:hAnsi="Arial"/>
          <w:sz w:val="13"/>
          <w:szCs w:val="13"/>
          <w:color w:val="479EFF"/>
        </w:rPr>
        <w:t>|</w:t>
      </w:r>
      <w:r>
        <w:rPr>
          <w:rFonts w:ascii="Arial" w:cs="Arial" w:eastAsia="Arial" w:hAnsi="Arial"/>
          <w:sz w:val="13"/>
          <w:szCs w:val="13"/>
          <w:b w:val="1"/>
          <w:bCs w:val="1"/>
          <w:color w:val="FF4000"/>
        </w:rPr>
        <w:t xml:space="preserve"> </w:t>
      </w:r>
      <w:r>
        <w:rPr>
          <w:rFonts w:ascii="Arial" w:cs="Arial" w:eastAsia="Arial" w:hAnsi="Arial"/>
          <w:sz w:val="13"/>
          <w:szCs w:val="13"/>
          <w:b w:val="1"/>
          <w:bCs w:val="1"/>
          <w:i w:val="1"/>
          <w:iCs w:val="1"/>
          <w:color w:val="000000"/>
        </w:rPr>
        <w:t>Executive Vice President and Business Head,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666750" cy="6667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66750" cy="666750"/>
                    </a:xfrm>
                    <a:prstGeom prst="rect">
                      <a:avLst/>
                    </a:prstGeom>
                    <a:noFill/>
                  </pic:spPr>
                </pic:pic>
              </a:graphicData>
            </a:graphic>
          </wp:anchor>
        </w:drawing>
      </w:r>
    </w:p>
    <w:p>
      <w:pPr>
        <w:ind w:left="1400" w:right="60"/>
        <w:spacing w:after="0" w:line="236" w:lineRule="auto"/>
        <w:rPr>
          <w:sz w:val="20"/>
          <w:szCs w:val="20"/>
          <w:color w:val="auto"/>
        </w:rPr>
      </w:pPr>
      <w:r>
        <w:rPr>
          <w:rFonts w:ascii="Arial" w:cs="Arial" w:eastAsia="Arial" w:hAnsi="Arial"/>
          <w:sz w:val="13"/>
          <w:szCs w:val="13"/>
          <w:color w:val="auto"/>
        </w:rPr>
        <w:t>Mr. Bhalla has served as our Executive Vice President and Business Head, Insurance since January 2014 and as our Head of Outsourcing since November 2009. He previously served as Vice President, Operations of EXL India from June 2006 to October 2009 and as Vice President, Migrations, Quality and 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 Mr. Bhalla is based in Delhi,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396875</wp:posOffset>
            </wp:positionV>
            <wp:extent cx="1408430" cy="3333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0" w:name="page61"/>
    <w:bookmarkEnd w:id="6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OUR EXECUTIVE OFFICERS</w:t>
      </w:r>
    </w:p>
    <w:p>
      <w:pPr>
        <w:spacing w:after="0" w:line="152"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FF4000"/>
        </w:rPr>
        <w:t xml:space="preserve">Vivek Jetley </w:t>
      </w:r>
      <w:r>
        <w:rPr>
          <w:rFonts w:ascii="Arial" w:cs="Arial" w:eastAsia="Arial" w:hAnsi="Arial"/>
          <w:sz w:val="13"/>
          <w:szCs w:val="13"/>
          <w:color w:val="000000"/>
        </w:rPr>
        <w:t>(age 46)</w:t>
      </w:r>
      <w:r>
        <w:rPr>
          <w:rFonts w:ascii="Arial" w:cs="Arial" w:eastAsia="Arial" w:hAnsi="Arial"/>
          <w:sz w:val="13"/>
          <w:szCs w:val="13"/>
          <w:b w:val="1"/>
          <w:bCs w:val="1"/>
          <w:color w:val="FF4000"/>
        </w:rPr>
        <w:t xml:space="preserve"> </w:t>
      </w:r>
      <w:r>
        <w:rPr>
          <w:rFonts w:ascii="Arial" w:cs="Arial" w:eastAsia="Arial" w:hAnsi="Arial"/>
          <w:sz w:val="13"/>
          <w:szCs w:val="13"/>
          <w:color w:val="479EFF"/>
        </w:rPr>
        <w:t>|</w:t>
      </w:r>
      <w:r>
        <w:rPr>
          <w:rFonts w:ascii="Arial" w:cs="Arial" w:eastAsia="Arial" w:hAnsi="Arial"/>
          <w:sz w:val="13"/>
          <w:szCs w:val="13"/>
          <w:b w:val="1"/>
          <w:bCs w:val="1"/>
          <w:color w:val="FF4000"/>
        </w:rPr>
        <w:t xml:space="preserve"> </w:t>
      </w:r>
      <w:r>
        <w:rPr>
          <w:rFonts w:ascii="Arial" w:cs="Arial" w:eastAsia="Arial" w:hAnsi="Arial"/>
          <w:sz w:val="13"/>
          <w:szCs w:val="13"/>
          <w:b w:val="1"/>
          <w:bCs w:val="1"/>
          <w:i w:val="1"/>
          <w:iCs w:val="1"/>
          <w:color w:val="000000"/>
        </w:rPr>
        <w:t>Executive Vice President and Business Head,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666750" cy="6667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66750" cy="666750"/>
                    </a:xfrm>
                    <a:prstGeom prst="rect">
                      <a:avLst/>
                    </a:prstGeom>
                    <a:noFill/>
                  </pic:spPr>
                </pic:pic>
              </a:graphicData>
            </a:graphic>
          </wp:anchor>
        </w:drawing>
      </w:r>
    </w:p>
    <w:p>
      <w:pPr>
        <w:ind w:left="1400" w:right="280"/>
        <w:spacing w:after="0" w:line="278" w:lineRule="auto"/>
        <w:rPr>
          <w:sz w:val="20"/>
          <w:szCs w:val="20"/>
          <w:color w:val="auto"/>
        </w:rPr>
      </w:pPr>
      <w:r>
        <w:rPr>
          <w:rFonts w:ascii="Arial" w:cs="Arial" w:eastAsia="Arial" w:hAnsi="Arial"/>
          <w:sz w:val="12"/>
          <w:szCs w:val="12"/>
          <w:color w:val="auto"/>
        </w:rPr>
        <w:t>Mr. Jetley has served as our Executive Vice President and Business Head, Analytics since January 2020. He previously served in various leadership roles with us, including heading enterprise strategy and setting up a strategic deal team. Mr. Jetley has been with EXL since 2006. Prior to joining us, Mr. Jetley was a Partner at Inductis.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FF4000"/>
        </w:rPr>
        <w:t xml:space="preserve">Anita Mahon </w:t>
      </w:r>
      <w:r>
        <w:rPr>
          <w:rFonts w:ascii="Arial" w:cs="Arial" w:eastAsia="Arial" w:hAnsi="Arial"/>
          <w:sz w:val="13"/>
          <w:szCs w:val="13"/>
          <w:color w:val="000000"/>
        </w:rPr>
        <w:t>(age 52)</w:t>
      </w:r>
      <w:r>
        <w:rPr>
          <w:rFonts w:ascii="Arial" w:cs="Arial" w:eastAsia="Arial" w:hAnsi="Arial"/>
          <w:sz w:val="13"/>
          <w:szCs w:val="13"/>
          <w:b w:val="1"/>
          <w:bCs w:val="1"/>
          <w:color w:val="FF4000"/>
        </w:rPr>
        <w:t xml:space="preserve"> </w:t>
      </w:r>
      <w:r>
        <w:rPr>
          <w:rFonts w:ascii="Arial" w:cs="Arial" w:eastAsia="Arial" w:hAnsi="Arial"/>
          <w:sz w:val="13"/>
          <w:szCs w:val="13"/>
          <w:color w:val="479EFF"/>
        </w:rPr>
        <w:t>|</w:t>
      </w:r>
      <w:r>
        <w:rPr>
          <w:rFonts w:ascii="Arial" w:cs="Arial" w:eastAsia="Arial" w:hAnsi="Arial"/>
          <w:sz w:val="13"/>
          <w:szCs w:val="13"/>
          <w:b w:val="1"/>
          <w:bCs w:val="1"/>
          <w:color w:val="FF4000"/>
        </w:rPr>
        <w:t xml:space="preserve"> </w:t>
      </w:r>
      <w:r>
        <w:rPr>
          <w:rFonts w:ascii="Arial" w:cs="Arial" w:eastAsia="Arial" w:hAnsi="Arial"/>
          <w:sz w:val="13"/>
          <w:szCs w:val="13"/>
          <w:b w:val="1"/>
          <w:bCs w:val="1"/>
          <w:i w:val="1"/>
          <w:iCs w:val="1"/>
          <w:color w:val="000000"/>
        </w:rPr>
        <w:t>Executive Vice President and Chief Growth Officer</w:t>
      </w:r>
    </w:p>
    <w:p>
      <w:pPr>
        <w:spacing w:after="0" w:line="12" w:lineRule="exact"/>
        <w:rPr>
          <w:sz w:val="20"/>
          <w:szCs w:val="20"/>
          <w:color w:val="auto"/>
        </w:rPr>
      </w:pPr>
    </w:p>
    <w:p>
      <w:pPr>
        <w:ind w:left="1400" w:right="20"/>
        <w:spacing w:after="0" w:line="236" w:lineRule="auto"/>
        <w:rPr>
          <w:sz w:val="20"/>
          <w:szCs w:val="20"/>
          <w:color w:val="auto"/>
        </w:rPr>
      </w:pPr>
      <w:r>
        <w:rPr>
          <w:rFonts w:ascii="Arial" w:cs="Arial" w:eastAsia="Arial" w:hAnsi="Arial"/>
          <w:sz w:val="13"/>
          <w:szCs w:val="13"/>
          <w:color w:val="auto"/>
        </w:rPr>
        <w:t>Ms. Mahon has served as our Executive Vice President and Chief Growth Officer since March 2020. Prior to joining us, Ms. Mahon served as Vice President, Data, Strategy &amp; Portfolio Officer at IBM Watson Health, a business unit focused on developing cognitive and data-driven technologies to advance health. Ms. Mahon joined IBM in 2016 through its acquisition of Truven Health Analytics, a healthcare information and analytics business, where she served as Chief Strategy Officer. Prior to Truven, she held other leadership roles that placed her at the intersection of strategy, technology and analytics.</w:t>
      </w:r>
    </w:p>
    <w:p>
      <w:pPr>
        <w:spacing w:after="0" w:line="200" w:lineRule="exact"/>
        <w:rPr>
          <w:sz w:val="20"/>
          <w:szCs w:val="20"/>
          <w:color w:val="auto"/>
        </w:rPr>
      </w:pPr>
    </w:p>
    <w:p>
      <w:pPr>
        <w:spacing w:after="0" w:line="276"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FF4000"/>
        </w:rPr>
        <w:t xml:space="preserve">Samuel Meckey </w:t>
      </w:r>
      <w:r>
        <w:rPr>
          <w:rFonts w:ascii="Arial" w:cs="Arial" w:eastAsia="Arial" w:hAnsi="Arial"/>
          <w:sz w:val="13"/>
          <w:szCs w:val="13"/>
          <w:color w:val="000000"/>
        </w:rPr>
        <w:t>(age 50)</w:t>
      </w:r>
      <w:r>
        <w:rPr>
          <w:rFonts w:ascii="Arial" w:cs="Arial" w:eastAsia="Arial" w:hAnsi="Arial"/>
          <w:sz w:val="13"/>
          <w:szCs w:val="13"/>
          <w:b w:val="1"/>
          <w:bCs w:val="1"/>
          <w:color w:val="FF4000"/>
        </w:rPr>
        <w:t xml:space="preserve"> </w:t>
      </w:r>
      <w:r>
        <w:rPr>
          <w:rFonts w:ascii="Arial" w:cs="Arial" w:eastAsia="Arial" w:hAnsi="Arial"/>
          <w:sz w:val="13"/>
          <w:szCs w:val="13"/>
          <w:color w:val="479EFF"/>
        </w:rPr>
        <w:t>|</w:t>
      </w:r>
      <w:r>
        <w:rPr>
          <w:rFonts w:ascii="Arial" w:cs="Arial" w:eastAsia="Arial" w:hAnsi="Arial"/>
          <w:sz w:val="13"/>
          <w:szCs w:val="13"/>
          <w:b w:val="1"/>
          <w:bCs w:val="1"/>
          <w:color w:val="FF4000"/>
        </w:rPr>
        <w:t xml:space="preserve"> </w:t>
      </w:r>
      <w:r>
        <w:rPr>
          <w:rFonts w:ascii="Arial" w:cs="Arial" w:eastAsia="Arial" w:hAnsi="Arial"/>
          <w:sz w:val="13"/>
          <w:szCs w:val="13"/>
          <w:b w:val="1"/>
          <w:bCs w:val="1"/>
          <w:i w:val="1"/>
          <w:iCs w:val="1"/>
          <w:color w:val="000000"/>
        </w:rPr>
        <w:t>Executive Vice President and Business Head,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666750" cy="6667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66750" cy="666750"/>
                    </a:xfrm>
                    <a:prstGeom prst="rect">
                      <a:avLst/>
                    </a:prstGeom>
                    <a:noFill/>
                  </pic:spPr>
                </pic:pic>
              </a:graphicData>
            </a:graphic>
          </wp:anchor>
        </w:drawing>
      </w:r>
    </w:p>
    <w:p>
      <w:pPr>
        <w:jc w:val="both"/>
        <w:ind w:left="1400" w:right="140"/>
        <w:spacing w:after="0" w:line="237" w:lineRule="auto"/>
        <w:rPr>
          <w:sz w:val="20"/>
          <w:szCs w:val="20"/>
          <w:color w:val="auto"/>
        </w:rPr>
      </w:pPr>
      <w:r>
        <w:rPr>
          <w:rFonts w:ascii="Arial" w:cs="Arial" w:eastAsia="Arial" w:hAnsi="Arial"/>
          <w:sz w:val="13"/>
          <w:szCs w:val="13"/>
          <w:color w:val="auto"/>
        </w:rPr>
        <w:t>Mr. Meckey has served as an Executive Vice President since November 2018 and as Business Head, Healthcare beginning in 2019. Prior to joining us, Mr. Meckey served as President of UnitedHealth Group's Optum Global Solutions and before that has held various executive roles at UnitedHealth Group, where he was employed from May 2004 to June 2018. Prior to joining UnitedHealth Group, Mr. Meckey was an officer and naval aviator in the United States Navy from May 1992 to August 2002.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FF4000"/>
        </w:rPr>
        <w:t xml:space="preserve">Nalin Miglani </w:t>
      </w:r>
      <w:r>
        <w:rPr>
          <w:rFonts w:ascii="Arial" w:cs="Arial" w:eastAsia="Arial" w:hAnsi="Arial"/>
          <w:sz w:val="13"/>
          <w:szCs w:val="13"/>
          <w:color w:val="000000"/>
        </w:rPr>
        <w:t>(age 60)</w:t>
      </w:r>
      <w:r>
        <w:rPr>
          <w:rFonts w:ascii="Arial" w:cs="Arial" w:eastAsia="Arial" w:hAnsi="Arial"/>
          <w:sz w:val="13"/>
          <w:szCs w:val="13"/>
          <w:b w:val="1"/>
          <w:bCs w:val="1"/>
          <w:color w:val="FF4000"/>
        </w:rPr>
        <w:t xml:space="preserve"> </w:t>
      </w:r>
      <w:r>
        <w:rPr>
          <w:rFonts w:ascii="Arial" w:cs="Arial" w:eastAsia="Arial" w:hAnsi="Arial"/>
          <w:sz w:val="13"/>
          <w:szCs w:val="13"/>
          <w:color w:val="479EFF"/>
        </w:rPr>
        <w:t>|</w:t>
      </w:r>
      <w:r>
        <w:rPr>
          <w:rFonts w:ascii="Arial" w:cs="Arial" w:eastAsia="Arial" w:hAnsi="Arial"/>
          <w:sz w:val="13"/>
          <w:szCs w:val="13"/>
          <w:b w:val="1"/>
          <w:bCs w:val="1"/>
          <w:color w:val="FF4000"/>
        </w:rPr>
        <w:t xml:space="preserve"> </w:t>
      </w:r>
      <w:r>
        <w:rPr>
          <w:rFonts w:ascii="Arial" w:cs="Arial" w:eastAsia="Arial" w:hAnsi="Arial"/>
          <w:sz w:val="13"/>
          <w:szCs w:val="13"/>
          <w:b w:val="1"/>
          <w:bCs w:val="1"/>
          <w:i w:val="1"/>
          <w:iCs w:val="1"/>
          <w:color w:val="000000"/>
        </w:rPr>
        <w:t>Executive Vice President and Chief Human Resource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666750" cy="6667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66750" cy="666750"/>
                    </a:xfrm>
                    <a:prstGeom prst="rect">
                      <a:avLst/>
                    </a:prstGeom>
                    <a:noFill/>
                  </pic:spPr>
                </pic:pic>
              </a:graphicData>
            </a:graphic>
          </wp:anchor>
        </w:drawing>
      </w:r>
    </w:p>
    <w:p>
      <w:pPr>
        <w:ind w:left="1400"/>
        <w:spacing w:after="0" w:line="262" w:lineRule="auto"/>
        <w:rPr>
          <w:sz w:val="20"/>
          <w:szCs w:val="20"/>
          <w:color w:val="auto"/>
        </w:rPr>
      </w:pPr>
      <w:r>
        <w:rPr>
          <w:rFonts w:ascii="Arial" w:cs="Arial" w:eastAsia="Arial" w:hAnsi="Arial"/>
          <w:sz w:val="12"/>
          <w:szCs w:val="12"/>
          <w:color w:val="auto"/>
        </w:rPr>
        <w:t>Mr. Miglani has served as our Executive Vice President, Chief Human Resource Officer since December 2014. Mr. Miglani is responsible for the global human resources function at the Company. Prior to joining the Company, he was the Chief HR and Corporate Development Officer for Nutreco, based in Amsterdam, Netherlands, from March 2013 to November 2014. Mr. Miglani also served as the Chief HR and Communications Officer for Tata Global Beverages Company, London, UK, from June 2008 to February 2013. In addition, Mr. Miglani held various global and regional HR leadership roles around the world during his career at The Coca-Cola Company and British American Tobacco.</w:t>
      </w:r>
    </w:p>
    <w:p>
      <w:pPr>
        <w:spacing w:after="0" w:line="200" w:lineRule="exact"/>
        <w:rPr>
          <w:sz w:val="20"/>
          <w:szCs w:val="20"/>
          <w:color w:val="auto"/>
        </w:rPr>
      </w:pPr>
    </w:p>
    <w:p>
      <w:pPr>
        <w:spacing w:after="0" w:line="261"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FF4000"/>
        </w:rPr>
        <w:t xml:space="preserve">Maurizio Nicolelli </w:t>
      </w:r>
      <w:r>
        <w:rPr>
          <w:rFonts w:ascii="Arial" w:cs="Arial" w:eastAsia="Arial" w:hAnsi="Arial"/>
          <w:sz w:val="13"/>
          <w:szCs w:val="13"/>
          <w:color w:val="000000"/>
        </w:rPr>
        <w:t>(age 52)</w:t>
      </w:r>
      <w:r>
        <w:rPr>
          <w:rFonts w:ascii="Arial" w:cs="Arial" w:eastAsia="Arial" w:hAnsi="Arial"/>
          <w:sz w:val="13"/>
          <w:szCs w:val="13"/>
          <w:b w:val="1"/>
          <w:bCs w:val="1"/>
          <w:color w:val="FF4000"/>
        </w:rPr>
        <w:t xml:space="preserve"> </w:t>
      </w:r>
      <w:r>
        <w:rPr>
          <w:rFonts w:ascii="Arial" w:cs="Arial" w:eastAsia="Arial" w:hAnsi="Arial"/>
          <w:sz w:val="13"/>
          <w:szCs w:val="13"/>
          <w:color w:val="479EFF"/>
        </w:rPr>
        <w:t>|</w:t>
      </w:r>
      <w:r>
        <w:rPr>
          <w:rFonts w:ascii="Arial" w:cs="Arial" w:eastAsia="Arial" w:hAnsi="Arial"/>
          <w:sz w:val="13"/>
          <w:szCs w:val="13"/>
          <w:b w:val="1"/>
          <w:bCs w:val="1"/>
          <w:color w:val="FF4000"/>
        </w:rPr>
        <w:t xml:space="preserve"> </w:t>
      </w:r>
      <w:r>
        <w:rPr>
          <w:rFonts w:ascii="Arial" w:cs="Arial" w:eastAsia="Arial" w:hAnsi="Arial"/>
          <w:sz w:val="13"/>
          <w:szCs w:val="13"/>
          <w:b w:val="1"/>
          <w:bCs w:val="1"/>
          <w:i w:val="1"/>
          <w:iCs w:val="1"/>
          <w:color w:val="000000"/>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666750" cy="6667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66750" cy="666750"/>
                    </a:xfrm>
                    <a:prstGeom prst="rect">
                      <a:avLst/>
                    </a:prstGeom>
                    <a:noFill/>
                  </pic:spPr>
                </pic:pic>
              </a:graphicData>
            </a:graphic>
          </wp:anchor>
        </w:drawing>
      </w:r>
    </w:p>
    <w:p>
      <w:pPr>
        <w:ind w:left="1400" w:right="180"/>
        <w:spacing w:after="0" w:line="237" w:lineRule="auto"/>
        <w:rPr>
          <w:sz w:val="20"/>
          <w:szCs w:val="20"/>
          <w:color w:val="auto"/>
        </w:rPr>
      </w:pPr>
      <w:r>
        <w:rPr>
          <w:rFonts w:ascii="Arial" w:cs="Arial" w:eastAsia="Arial" w:hAnsi="Arial"/>
          <w:sz w:val="13"/>
          <w:szCs w:val="13"/>
          <w:color w:val="auto"/>
        </w:rPr>
        <w:t>Mr. Nicolelli has served as our Executive Vice President and Chief Financial Officer since February 2020. Prior to joining the Company, Mr. Nicolelli served as Senior Vice President and Chief Financial Officer of Casa Systems beginning in 2019. He previously served 23 years at FactSet Research Systems, where he was Senior Vice President, Principal and Chief Financial Officer from 2009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489585</wp:posOffset>
            </wp:positionV>
            <wp:extent cx="1408430" cy="3333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61" w:name="page62"/>
    <w:bookmarkEnd w:id="6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360" w:type="dxa"/>
            <w:vAlign w:val="bottom"/>
            <w:gridSpan w:val="2"/>
          </w:tcPr>
          <w:p>
            <w:pPr>
              <w:jc w:val="right"/>
              <w:spacing w:after="0"/>
              <w:rPr>
                <w:sz w:val="20"/>
                <w:szCs w:val="20"/>
                <w:color w:val="auto"/>
              </w:rPr>
            </w:pPr>
            <w:r>
              <w:rPr>
                <w:rFonts w:ascii="Arial" w:cs="Arial" w:eastAsia="Arial" w:hAnsi="Arial"/>
                <w:sz w:val="10"/>
                <w:szCs w:val="10"/>
                <w:b w:val="1"/>
                <w:bCs w:val="1"/>
                <w:color w:val="CCD9D9"/>
              </w:rPr>
              <w:t>EXECUTIVE COMPENSATION</w:t>
            </w:r>
          </w:p>
        </w:tc>
      </w:tr>
      <w:tr>
        <w:trPr>
          <w:trHeight w:val="353"/>
        </w:trPr>
        <w:tc>
          <w:tcPr>
            <w:tcW w:w="7940" w:type="dxa"/>
            <w:vAlign w:val="bottom"/>
            <w:gridSpan w:val="31"/>
          </w:tcPr>
          <w:p>
            <w:pPr>
              <w:spacing w:after="0"/>
              <w:rPr>
                <w:sz w:val="20"/>
                <w:szCs w:val="20"/>
                <w:color w:val="auto"/>
              </w:rPr>
            </w:pPr>
            <w:r>
              <w:rPr>
                <w:rFonts w:ascii="Arial" w:cs="Arial" w:eastAsia="Arial" w:hAnsi="Arial"/>
                <w:sz w:val="18"/>
                <w:szCs w:val="18"/>
                <w:b w:val="1"/>
                <w:bCs w:val="1"/>
                <w:color w:val="001379"/>
              </w:rPr>
              <w:t>EXECUTIVE COMPENSATION</w:t>
            </w: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7"/>
        </w:trPr>
        <w:tc>
          <w:tcPr>
            <w:tcW w:w="7940" w:type="dxa"/>
            <w:vAlign w:val="bottom"/>
            <w:gridSpan w:val="31"/>
          </w:tcPr>
          <w:p>
            <w:pPr>
              <w:spacing w:after="0"/>
              <w:rPr>
                <w:sz w:val="20"/>
                <w:szCs w:val="20"/>
                <w:color w:val="auto"/>
              </w:rPr>
            </w:pPr>
            <w:r>
              <w:rPr>
                <w:rFonts w:ascii="Arial" w:cs="Arial" w:eastAsia="Arial" w:hAnsi="Arial"/>
                <w:sz w:val="13"/>
                <w:szCs w:val="13"/>
                <w:b w:val="1"/>
                <w:bCs w:val="1"/>
                <w:color w:val="FF4000"/>
              </w:rPr>
              <w:t>COMPENSATION DISCUSSION AND ANALYSIS</w:t>
            </w: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2"/>
        </w:trPr>
        <w:tc>
          <w:tcPr>
            <w:tcW w:w="7940" w:type="dxa"/>
            <w:vAlign w:val="bottom"/>
            <w:gridSpan w:val="31"/>
          </w:tcPr>
          <w:p>
            <w:pPr>
              <w:spacing w:after="0"/>
              <w:rPr>
                <w:sz w:val="20"/>
                <w:szCs w:val="20"/>
                <w:color w:val="auto"/>
              </w:rPr>
            </w:pPr>
            <w:r>
              <w:rPr>
                <w:rFonts w:ascii="Arial" w:cs="Arial" w:eastAsia="Arial" w:hAnsi="Arial"/>
                <w:sz w:val="13"/>
                <w:szCs w:val="13"/>
                <w:b w:val="1"/>
                <w:bCs w:val="1"/>
                <w:color w:val="479EFF"/>
              </w:rPr>
              <w:t>Table of Contents</w:t>
            </w: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9"/>
        </w:trPr>
        <w:tc>
          <w:tcPr>
            <w:tcW w:w="7940" w:type="dxa"/>
            <w:vAlign w:val="bottom"/>
            <w:gridSpan w:val="31"/>
          </w:tcPr>
          <w:p>
            <w:pPr>
              <w:spacing w:after="0"/>
              <w:rPr>
                <w:rFonts w:ascii="Arial" w:cs="Arial" w:eastAsia="Arial" w:hAnsi="Arial"/>
                <w:sz w:val="13"/>
                <w:szCs w:val="13"/>
                <w:b w:val="1"/>
                <w:bCs w:val="1"/>
                <w:color w:val="0000EE"/>
              </w:rPr>
            </w:pPr>
            <w:hyperlink w:anchor="page64">
              <w:r>
                <w:rPr>
                  <w:rFonts w:ascii="Arial" w:cs="Arial" w:eastAsia="Arial" w:hAnsi="Arial"/>
                  <w:sz w:val="13"/>
                  <w:szCs w:val="13"/>
                  <w:b w:val="1"/>
                  <w:bCs w:val="1"/>
                  <w:color w:val="0000EE"/>
                </w:rPr>
                <w:t>NAMED EXECUTIVE OFFICERS</w:t>
              </w:r>
            </w:hyperlink>
          </w:p>
        </w:tc>
        <w:tc>
          <w:tcPr>
            <w:tcW w:w="3360" w:type="dxa"/>
            <w:vAlign w:val="bottom"/>
            <w:gridSpan w:val="2"/>
          </w:tcPr>
          <w:p>
            <w:pPr>
              <w:jc w:val="right"/>
              <w:spacing w:after="0"/>
              <w:rPr>
                <w:rFonts w:ascii="Arial" w:cs="Arial" w:eastAsia="Arial" w:hAnsi="Arial"/>
                <w:sz w:val="13"/>
                <w:szCs w:val="13"/>
                <w:b w:val="1"/>
                <w:bCs w:val="1"/>
                <w:color w:val="0000EE"/>
              </w:rPr>
            </w:pPr>
            <w:hyperlink w:anchor="page64">
              <w:r>
                <w:rPr>
                  <w:rFonts w:ascii="Arial" w:cs="Arial" w:eastAsia="Arial" w:hAnsi="Arial"/>
                  <w:sz w:val="13"/>
                  <w:szCs w:val="13"/>
                  <w:b w:val="1"/>
                  <w:bCs w:val="1"/>
                  <w:color w:val="0000EE"/>
                </w:rPr>
                <w:t>63</w:t>
              </w:r>
            </w:hyperlink>
          </w:p>
        </w:tc>
      </w:tr>
      <w:tr>
        <w:trPr>
          <w:trHeight w:val="282"/>
        </w:trPr>
        <w:tc>
          <w:tcPr>
            <w:tcW w:w="1400" w:type="dxa"/>
            <w:vAlign w:val="bottom"/>
            <w:tcBorders>
              <w:top w:val="single" w:sz="8" w:color="0000EE"/>
              <w:bottom w:val="single" w:sz="8" w:color="0000EE"/>
            </w:tcBorders>
            <w:gridSpan w:val="6"/>
          </w:tcPr>
          <w:p>
            <w:pPr>
              <w:spacing w:after="0"/>
              <w:rPr>
                <w:rFonts w:ascii="Arial" w:cs="Arial" w:eastAsia="Arial" w:hAnsi="Arial"/>
                <w:sz w:val="13"/>
                <w:szCs w:val="13"/>
                <w:b w:val="1"/>
                <w:bCs w:val="1"/>
                <w:color w:val="0000EE"/>
                <w:w w:val="95"/>
              </w:rPr>
            </w:pPr>
            <w:hyperlink w:anchor="page64">
              <w:r>
                <w:rPr>
                  <w:rFonts w:ascii="Arial" w:cs="Arial" w:eastAsia="Arial" w:hAnsi="Arial"/>
                  <w:sz w:val="13"/>
                  <w:szCs w:val="13"/>
                  <w:b w:val="1"/>
                  <w:bCs w:val="1"/>
                  <w:color w:val="0000EE"/>
                  <w:w w:val="95"/>
                </w:rPr>
                <w:t>EXECUTIVE SUMMARY</w:t>
              </w:r>
            </w:hyperlink>
          </w:p>
        </w:tc>
        <w:tc>
          <w:tcPr>
            <w:tcW w:w="480" w:type="dxa"/>
            <w:vAlign w:val="bottom"/>
            <w:tcBorders>
              <w:top w:val="single" w:sz="8" w:color="0000EE"/>
            </w:tcBorders>
            <w:gridSpan w:val="7"/>
          </w:tcPr>
          <w:p>
            <w:pPr>
              <w:spacing w:after="0"/>
              <w:rPr>
                <w:sz w:val="24"/>
                <w:szCs w:val="24"/>
                <w:color w:val="auto"/>
              </w:rPr>
            </w:pPr>
          </w:p>
        </w:tc>
        <w:tc>
          <w:tcPr>
            <w:tcW w:w="6060" w:type="dxa"/>
            <w:vAlign w:val="bottom"/>
            <w:gridSpan w:val="18"/>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3"/>
                <w:szCs w:val="13"/>
                <w:b w:val="1"/>
                <w:bCs w:val="1"/>
                <w:color w:val="0000EE"/>
                <w:w w:val="96"/>
              </w:rPr>
            </w:pPr>
            <w:hyperlink w:anchor="page64">
              <w:r>
                <w:rPr>
                  <w:rFonts w:ascii="Arial" w:cs="Arial" w:eastAsia="Arial" w:hAnsi="Arial"/>
                  <w:sz w:val="13"/>
                  <w:szCs w:val="13"/>
                  <w:b w:val="1"/>
                  <w:bCs w:val="1"/>
                  <w:color w:val="0000EE"/>
                  <w:w w:val="96"/>
                </w:rPr>
                <w:t>63</w:t>
              </w:r>
            </w:hyperlink>
          </w:p>
        </w:tc>
      </w:tr>
      <w:tr>
        <w:trPr>
          <w:trHeight w:val="282"/>
        </w:trPr>
        <w:tc>
          <w:tcPr>
            <w:tcW w:w="120" w:type="dxa"/>
            <w:vAlign w:val="bottom"/>
          </w:tcPr>
          <w:p>
            <w:pPr>
              <w:spacing w:after="0"/>
              <w:rPr>
                <w:sz w:val="24"/>
                <w:szCs w:val="24"/>
                <w:color w:val="auto"/>
              </w:rPr>
            </w:pPr>
          </w:p>
        </w:tc>
        <w:tc>
          <w:tcPr>
            <w:tcW w:w="7820" w:type="dxa"/>
            <w:vAlign w:val="bottom"/>
            <w:gridSpan w:val="30"/>
          </w:tcPr>
          <w:p>
            <w:pPr>
              <w:spacing w:after="0"/>
              <w:rPr>
                <w:rFonts w:ascii="Arial" w:cs="Arial" w:eastAsia="Arial" w:hAnsi="Arial"/>
                <w:sz w:val="13"/>
                <w:szCs w:val="13"/>
                <w:color w:val="0000EE"/>
              </w:rPr>
            </w:pPr>
            <w:hyperlink w:anchor="page64">
              <w:r>
                <w:rPr>
                  <w:rFonts w:ascii="Arial" w:cs="Arial" w:eastAsia="Arial" w:hAnsi="Arial"/>
                  <w:sz w:val="13"/>
                  <w:szCs w:val="13"/>
                  <w:color w:val="0000EE"/>
                </w:rPr>
                <w:t>Select 2020 Financial and Business Highlights</w:t>
              </w:r>
            </w:hyperlink>
          </w:p>
        </w:tc>
        <w:tc>
          <w:tcPr>
            <w:tcW w:w="3360" w:type="dxa"/>
            <w:vAlign w:val="bottom"/>
            <w:gridSpan w:val="2"/>
          </w:tcPr>
          <w:p>
            <w:pPr>
              <w:jc w:val="right"/>
              <w:spacing w:after="0"/>
              <w:rPr>
                <w:rFonts w:ascii="Arial" w:cs="Arial" w:eastAsia="Arial" w:hAnsi="Arial"/>
                <w:sz w:val="13"/>
                <w:szCs w:val="13"/>
                <w:color w:val="0000EE"/>
              </w:rPr>
            </w:pPr>
            <w:hyperlink w:anchor="page64">
              <w:r>
                <w:rPr>
                  <w:rFonts w:ascii="Arial" w:cs="Arial" w:eastAsia="Arial" w:hAnsi="Arial"/>
                  <w:sz w:val="13"/>
                  <w:szCs w:val="13"/>
                  <w:color w:val="0000EE"/>
                </w:rPr>
                <w:t>63</w:t>
              </w:r>
            </w:hyperlink>
          </w:p>
        </w:tc>
      </w:tr>
      <w:tr>
        <w:trPr>
          <w:trHeight w:val="282"/>
        </w:trPr>
        <w:tc>
          <w:tcPr>
            <w:tcW w:w="12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7"/>
          </w:tcPr>
          <w:p>
            <w:pPr>
              <w:spacing w:after="0"/>
              <w:rPr>
                <w:rFonts w:ascii="Arial" w:cs="Arial" w:eastAsia="Arial" w:hAnsi="Arial"/>
                <w:sz w:val="13"/>
                <w:szCs w:val="13"/>
                <w:color w:val="0000EE"/>
                <w:w w:val="95"/>
              </w:rPr>
            </w:pPr>
            <w:hyperlink w:anchor="page65">
              <w:r>
                <w:rPr>
                  <w:rFonts w:ascii="Arial" w:cs="Arial" w:eastAsia="Arial" w:hAnsi="Arial"/>
                  <w:sz w:val="13"/>
                  <w:szCs w:val="13"/>
                  <w:color w:val="0000EE"/>
                  <w:w w:val="95"/>
                </w:rPr>
                <w:t>Total Stockholder Return</w:t>
              </w:r>
            </w:hyperlink>
          </w:p>
        </w:tc>
        <w:tc>
          <w:tcPr>
            <w:tcW w:w="1200" w:type="dxa"/>
            <w:vAlign w:val="bottom"/>
            <w:tcBorders>
              <w:top w:val="single" w:sz="8" w:color="0000EE"/>
            </w:tcBorders>
            <w:gridSpan w:val="9"/>
          </w:tcPr>
          <w:p>
            <w:pPr>
              <w:spacing w:after="0"/>
              <w:rPr>
                <w:sz w:val="24"/>
                <w:szCs w:val="24"/>
                <w:color w:val="auto"/>
              </w:rPr>
            </w:pPr>
          </w:p>
        </w:tc>
        <w:tc>
          <w:tcPr>
            <w:tcW w:w="5220" w:type="dxa"/>
            <w:vAlign w:val="bottom"/>
            <w:gridSpan w:val="14"/>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3"/>
                <w:szCs w:val="13"/>
                <w:color w:val="0000EE"/>
                <w:w w:val="96"/>
              </w:rPr>
            </w:pPr>
            <w:hyperlink w:anchor="page65">
              <w:r>
                <w:rPr>
                  <w:rFonts w:ascii="Arial" w:cs="Arial" w:eastAsia="Arial" w:hAnsi="Arial"/>
                  <w:sz w:val="13"/>
                  <w:szCs w:val="13"/>
                  <w:color w:val="0000EE"/>
                  <w:w w:val="96"/>
                </w:rPr>
                <w:t>64</w:t>
              </w:r>
            </w:hyperlink>
          </w:p>
        </w:tc>
      </w:tr>
      <w:tr>
        <w:trPr>
          <w:trHeight w:val="282"/>
        </w:trPr>
        <w:tc>
          <w:tcPr>
            <w:tcW w:w="120" w:type="dxa"/>
            <w:vAlign w:val="bottom"/>
          </w:tcPr>
          <w:p>
            <w:pPr>
              <w:spacing w:after="0"/>
              <w:rPr>
                <w:sz w:val="24"/>
                <w:szCs w:val="24"/>
                <w:color w:val="auto"/>
              </w:rPr>
            </w:pPr>
          </w:p>
        </w:tc>
        <w:tc>
          <w:tcPr>
            <w:tcW w:w="7820" w:type="dxa"/>
            <w:vAlign w:val="bottom"/>
            <w:gridSpan w:val="30"/>
          </w:tcPr>
          <w:p>
            <w:pPr>
              <w:spacing w:after="0"/>
              <w:rPr>
                <w:rFonts w:ascii="Arial" w:cs="Arial" w:eastAsia="Arial" w:hAnsi="Arial"/>
                <w:sz w:val="13"/>
                <w:szCs w:val="13"/>
                <w:color w:val="0000EE"/>
              </w:rPr>
            </w:pPr>
            <w:hyperlink w:anchor="page65">
              <w:r>
                <w:rPr>
                  <w:rFonts w:ascii="Arial" w:cs="Arial" w:eastAsia="Arial" w:hAnsi="Arial"/>
                  <w:sz w:val="13"/>
                  <w:szCs w:val="13"/>
                  <w:color w:val="0000EE"/>
                </w:rPr>
                <w:t>Awards and Industry Recognition</w:t>
              </w:r>
            </w:hyperlink>
          </w:p>
        </w:tc>
        <w:tc>
          <w:tcPr>
            <w:tcW w:w="3360" w:type="dxa"/>
            <w:vAlign w:val="bottom"/>
            <w:gridSpan w:val="2"/>
          </w:tcPr>
          <w:p>
            <w:pPr>
              <w:jc w:val="right"/>
              <w:spacing w:after="0"/>
              <w:rPr>
                <w:rFonts w:ascii="Arial" w:cs="Arial" w:eastAsia="Arial" w:hAnsi="Arial"/>
                <w:sz w:val="13"/>
                <w:szCs w:val="13"/>
                <w:color w:val="0000EE"/>
              </w:rPr>
            </w:pPr>
            <w:hyperlink w:anchor="page65">
              <w:r>
                <w:rPr>
                  <w:rFonts w:ascii="Arial" w:cs="Arial" w:eastAsia="Arial" w:hAnsi="Arial"/>
                  <w:sz w:val="13"/>
                  <w:szCs w:val="13"/>
                  <w:color w:val="0000EE"/>
                </w:rPr>
                <w:t>64</w:t>
              </w:r>
            </w:hyperlink>
          </w:p>
        </w:tc>
      </w:tr>
      <w:tr>
        <w:trPr>
          <w:trHeight w:val="282"/>
        </w:trPr>
        <w:tc>
          <w:tcPr>
            <w:tcW w:w="12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6"/>
          </w:tcPr>
          <w:p>
            <w:pPr>
              <w:spacing w:after="0"/>
              <w:rPr>
                <w:rFonts w:ascii="Arial" w:cs="Arial" w:eastAsia="Arial" w:hAnsi="Arial"/>
                <w:sz w:val="13"/>
                <w:szCs w:val="13"/>
                <w:color w:val="0000EE"/>
                <w:w w:val="96"/>
              </w:rPr>
            </w:pPr>
            <w:hyperlink w:anchor="page65">
              <w:r>
                <w:rPr>
                  <w:rFonts w:ascii="Arial" w:cs="Arial" w:eastAsia="Arial" w:hAnsi="Arial"/>
                  <w:sz w:val="13"/>
                  <w:szCs w:val="13"/>
                  <w:color w:val="0000EE"/>
                  <w:w w:val="96"/>
                </w:rPr>
                <w:t>Clients and Operations</w:t>
              </w:r>
            </w:hyperlink>
          </w:p>
        </w:tc>
        <w:tc>
          <w:tcPr>
            <w:tcW w:w="560" w:type="dxa"/>
            <w:vAlign w:val="bottom"/>
            <w:tcBorders>
              <w:top w:val="single" w:sz="8" w:color="0000EE"/>
            </w:tcBorders>
            <w:gridSpan w:val="7"/>
          </w:tcPr>
          <w:p>
            <w:pPr>
              <w:spacing w:after="0"/>
              <w:rPr>
                <w:sz w:val="24"/>
                <w:szCs w:val="24"/>
                <w:color w:val="auto"/>
              </w:rPr>
            </w:pPr>
          </w:p>
        </w:tc>
        <w:tc>
          <w:tcPr>
            <w:tcW w:w="5960" w:type="dxa"/>
            <w:vAlign w:val="bottom"/>
            <w:gridSpan w:val="17"/>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3"/>
                <w:szCs w:val="13"/>
                <w:color w:val="0000EE"/>
                <w:w w:val="96"/>
              </w:rPr>
            </w:pPr>
            <w:hyperlink w:anchor="page65">
              <w:r>
                <w:rPr>
                  <w:rFonts w:ascii="Arial" w:cs="Arial" w:eastAsia="Arial" w:hAnsi="Arial"/>
                  <w:sz w:val="13"/>
                  <w:szCs w:val="13"/>
                  <w:color w:val="0000EE"/>
                  <w:w w:val="96"/>
                </w:rPr>
                <w:t>64</w:t>
              </w:r>
            </w:hyperlink>
          </w:p>
        </w:tc>
      </w:tr>
      <w:tr>
        <w:trPr>
          <w:trHeight w:val="282"/>
        </w:trPr>
        <w:tc>
          <w:tcPr>
            <w:tcW w:w="120" w:type="dxa"/>
            <w:vAlign w:val="bottom"/>
          </w:tcPr>
          <w:p>
            <w:pPr>
              <w:spacing w:after="0"/>
              <w:rPr>
                <w:sz w:val="24"/>
                <w:szCs w:val="24"/>
                <w:color w:val="auto"/>
              </w:rPr>
            </w:pPr>
          </w:p>
        </w:tc>
        <w:tc>
          <w:tcPr>
            <w:tcW w:w="7820" w:type="dxa"/>
            <w:vAlign w:val="bottom"/>
            <w:gridSpan w:val="30"/>
          </w:tcPr>
          <w:p>
            <w:pPr>
              <w:spacing w:after="0"/>
              <w:rPr>
                <w:rFonts w:ascii="Arial" w:cs="Arial" w:eastAsia="Arial" w:hAnsi="Arial"/>
                <w:sz w:val="13"/>
                <w:szCs w:val="13"/>
                <w:color w:val="0000EE"/>
              </w:rPr>
            </w:pPr>
            <w:hyperlink w:anchor="page66">
              <w:r>
                <w:rPr>
                  <w:rFonts w:ascii="Arial" w:cs="Arial" w:eastAsia="Arial" w:hAnsi="Arial"/>
                  <w:sz w:val="13"/>
                  <w:szCs w:val="13"/>
                  <w:color w:val="0000EE"/>
                </w:rPr>
                <w:t>Summary of Key Compensation Considerations &amp; Decisions in 2020</w:t>
              </w:r>
            </w:hyperlink>
          </w:p>
        </w:tc>
        <w:tc>
          <w:tcPr>
            <w:tcW w:w="3360" w:type="dxa"/>
            <w:vAlign w:val="bottom"/>
            <w:gridSpan w:val="2"/>
          </w:tcPr>
          <w:p>
            <w:pPr>
              <w:jc w:val="right"/>
              <w:spacing w:after="0"/>
              <w:rPr>
                <w:rFonts w:ascii="Arial" w:cs="Arial" w:eastAsia="Arial" w:hAnsi="Arial"/>
                <w:sz w:val="13"/>
                <w:szCs w:val="13"/>
                <w:color w:val="0000EE"/>
              </w:rPr>
            </w:pPr>
            <w:hyperlink w:anchor="page66">
              <w:r>
                <w:rPr>
                  <w:rFonts w:ascii="Arial" w:cs="Arial" w:eastAsia="Arial" w:hAnsi="Arial"/>
                  <w:sz w:val="13"/>
                  <w:szCs w:val="13"/>
                  <w:color w:val="0000EE"/>
                </w:rPr>
                <w:t>65</w:t>
              </w:r>
            </w:hyperlink>
          </w:p>
        </w:tc>
      </w:tr>
      <w:tr>
        <w:trPr>
          <w:trHeight w:val="282"/>
        </w:trPr>
        <w:tc>
          <w:tcPr>
            <w:tcW w:w="120" w:type="dxa"/>
            <w:vAlign w:val="bottom"/>
          </w:tcPr>
          <w:p>
            <w:pPr>
              <w:spacing w:after="0"/>
              <w:rPr>
                <w:sz w:val="24"/>
                <w:szCs w:val="24"/>
                <w:color w:val="auto"/>
              </w:rPr>
            </w:pPr>
          </w:p>
        </w:tc>
        <w:tc>
          <w:tcPr>
            <w:tcW w:w="3820" w:type="dxa"/>
            <w:vAlign w:val="bottom"/>
            <w:tcBorders>
              <w:top w:val="single" w:sz="8" w:color="0000EE"/>
            </w:tcBorders>
            <w:gridSpan w:val="25"/>
          </w:tcPr>
          <w:p>
            <w:pPr>
              <w:spacing w:after="0"/>
              <w:rPr>
                <w:rFonts w:ascii="Arial" w:cs="Arial" w:eastAsia="Arial" w:hAnsi="Arial"/>
                <w:sz w:val="13"/>
                <w:szCs w:val="13"/>
                <w:color w:val="0000EE"/>
              </w:rPr>
            </w:pPr>
            <w:hyperlink w:anchor="page67">
              <w:r>
                <w:rPr>
                  <w:rFonts w:ascii="Arial" w:cs="Arial" w:eastAsia="Arial" w:hAnsi="Arial"/>
                  <w:sz w:val="13"/>
                  <w:szCs w:val="13"/>
                  <w:color w:val="0000EE"/>
                </w:rPr>
                <w:t>Pay-for-Performance</w:t>
              </w:r>
            </w:hyperlink>
          </w:p>
        </w:tc>
        <w:tc>
          <w:tcPr>
            <w:tcW w:w="4000" w:type="dxa"/>
            <w:vAlign w:val="bottom"/>
            <w:gridSpan w:val="5"/>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tcBorders>
          </w:tcPr>
          <w:p>
            <w:pPr>
              <w:jc w:val="right"/>
              <w:spacing w:after="0"/>
              <w:rPr>
                <w:rFonts w:ascii="Arial" w:cs="Arial" w:eastAsia="Arial" w:hAnsi="Arial"/>
                <w:sz w:val="13"/>
                <w:szCs w:val="13"/>
                <w:color w:val="0000EE"/>
                <w:w w:val="96"/>
              </w:rPr>
            </w:pPr>
            <w:hyperlink w:anchor="page67">
              <w:r>
                <w:rPr>
                  <w:rFonts w:ascii="Arial" w:cs="Arial" w:eastAsia="Arial" w:hAnsi="Arial"/>
                  <w:sz w:val="13"/>
                  <w:szCs w:val="13"/>
                  <w:color w:val="0000EE"/>
                  <w:w w:val="96"/>
                </w:rPr>
                <w:t>66</w:t>
              </w:r>
            </w:hyperlink>
          </w:p>
        </w:tc>
      </w:tr>
      <w:tr>
        <w:trPr>
          <w:trHeight w:val="20"/>
        </w:trPr>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7940" w:type="dxa"/>
            <w:vAlign w:val="bottom"/>
            <w:gridSpan w:val="31"/>
          </w:tcPr>
          <w:p>
            <w:pPr>
              <w:spacing w:after="0"/>
              <w:rPr>
                <w:rFonts w:ascii="Arial" w:cs="Arial" w:eastAsia="Arial" w:hAnsi="Arial"/>
                <w:sz w:val="13"/>
                <w:szCs w:val="13"/>
                <w:b w:val="1"/>
                <w:bCs w:val="1"/>
                <w:color w:val="0000EE"/>
              </w:rPr>
            </w:pPr>
            <w:hyperlink w:anchor="page68">
              <w:r>
                <w:rPr>
                  <w:rFonts w:ascii="Arial" w:cs="Arial" w:eastAsia="Arial" w:hAnsi="Arial"/>
                  <w:sz w:val="13"/>
                  <w:szCs w:val="13"/>
                  <w:b w:val="1"/>
                  <w:bCs w:val="1"/>
                  <w:color w:val="0000EE"/>
                </w:rPr>
                <w:t>EXECUTIVE COMPENSATION PROGRAM, PRACTICES AND POLICIES</w:t>
              </w:r>
            </w:hyperlink>
          </w:p>
        </w:tc>
        <w:tc>
          <w:tcPr>
            <w:tcW w:w="3360" w:type="dxa"/>
            <w:vAlign w:val="bottom"/>
            <w:gridSpan w:val="2"/>
          </w:tcPr>
          <w:p>
            <w:pPr>
              <w:jc w:val="right"/>
              <w:spacing w:after="0"/>
              <w:rPr>
                <w:rFonts w:ascii="Arial" w:cs="Arial" w:eastAsia="Arial" w:hAnsi="Arial"/>
                <w:sz w:val="13"/>
                <w:szCs w:val="13"/>
                <w:b w:val="1"/>
                <w:bCs w:val="1"/>
                <w:color w:val="0000EE"/>
              </w:rPr>
            </w:pPr>
            <w:hyperlink w:anchor="page68">
              <w:r>
                <w:rPr>
                  <w:rFonts w:ascii="Arial" w:cs="Arial" w:eastAsia="Arial" w:hAnsi="Arial"/>
                  <w:sz w:val="13"/>
                  <w:szCs w:val="13"/>
                  <w:b w:val="1"/>
                  <w:bCs w:val="1"/>
                  <w:color w:val="0000EE"/>
                </w:rPr>
                <w:t>67</w:t>
              </w:r>
            </w:hyperlink>
          </w:p>
        </w:tc>
      </w:tr>
      <w:tr>
        <w:trPr>
          <w:trHeight w:val="282"/>
        </w:trPr>
        <w:tc>
          <w:tcPr>
            <w:tcW w:w="4200" w:type="dxa"/>
            <w:vAlign w:val="bottom"/>
            <w:tcBorders>
              <w:top w:val="single" w:sz="8" w:color="0000EE"/>
            </w:tcBorders>
            <w:gridSpan w:val="28"/>
          </w:tcPr>
          <w:p>
            <w:pPr>
              <w:spacing w:after="0"/>
              <w:rPr>
                <w:rFonts w:ascii="Arial" w:cs="Arial" w:eastAsia="Arial" w:hAnsi="Arial"/>
                <w:sz w:val="13"/>
                <w:szCs w:val="13"/>
                <w:b w:val="1"/>
                <w:bCs w:val="1"/>
                <w:color w:val="0000EE"/>
              </w:rPr>
            </w:pPr>
            <w:hyperlink w:anchor="page70">
              <w:r>
                <w:rPr>
                  <w:rFonts w:ascii="Arial" w:cs="Arial" w:eastAsia="Arial" w:hAnsi="Arial"/>
                  <w:sz w:val="13"/>
                  <w:szCs w:val="13"/>
                  <w:b w:val="1"/>
                  <w:bCs w:val="1"/>
                  <w:color w:val="0000EE"/>
                </w:rPr>
                <w:t>OVERVIEW OF COMPENSATION POLICIES AND PHILOSOPHIES</w:t>
              </w:r>
            </w:hyperlink>
          </w:p>
        </w:tc>
        <w:tc>
          <w:tcPr>
            <w:tcW w:w="3740" w:type="dxa"/>
            <w:vAlign w:val="bottom"/>
            <w:gridSpan w:val="3"/>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tcBorders>
          </w:tcPr>
          <w:p>
            <w:pPr>
              <w:jc w:val="right"/>
              <w:spacing w:after="0"/>
              <w:rPr>
                <w:rFonts w:ascii="Arial" w:cs="Arial" w:eastAsia="Arial" w:hAnsi="Arial"/>
                <w:sz w:val="13"/>
                <w:szCs w:val="13"/>
                <w:b w:val="1"/>
                <w:bCs w:val="1"/>
                <w:color w:val="0000EE"/>
                <w:w w:val="96"/>
              </w:rPr>
            </w:pPr>
            <w:hyperlink w:anchor="page70">
              <w:r>
                <w:rPr>
                  <w:rFonts w:ascii="Arial" w:cs="Arial" w:eastAsia="Arial" w:hAnsi="Arial"/>
                  <w:sz w:val="13"/>
                  <w:szCs w:val="13"/>
                  <w:b w:val="1"/>
                  <w:bCs w:val="1"/>
                  <w:color w:val="0000EE"/>
                  <w:w w:val="96"/>
                </w:rPr>
                <w:t>69</w:t>
              </w:r>
            </w:hyperlink>
          </w:p>
        </w:tc>
      </w:tr>
      <w:tr>
        <w:trPr>
          <w:trHeight w:val="282"/>
        </w:trPr>
        <w:tc>
          <w:tcPr>
            <w:tcW w:w="3860" w:type="dxa"/>
            <w:vAlign w:val="bottom"/>
            <w:tcBorders>
              <w:top w:val="single" w:sz="8" w:color="0000EE"/>
            </w:tcBorders>
            <w:gridSpan w:val="25"/>
          </w:tcPr>
          <w:p>
            <w:pPr>
              <w:spacing w:after="0"/>
              <w:rPr>
                <w:rFonts w:ascii="Arial" w:cs="Arial" w:eastAsia="Arial" w:hAnsi="Arial"/>
                <w:sz w:val="13"/>
                <w:szCs w:val="13"/>
                <w:b w:val="1"/>
                <w:bCs w:val="1"/>
                <w:color w:val="0000EE"/>
              </w:rPr>
            </w:pPr>
            <w:hyperlink w:anchor="page71">
              <w:r>
                <w:rPr>
                  <w:rFonts w:ascii="Arial" w:cs="Arial" w:eastAsia="Arial" w:hAnsi="Arial"/>
                  <w:sz w:val="13"/>
                  <w:szCs w:val="13"/>
                  <w:b w:val="1"/>
                  <w:bCs w:val="1"/>
                  <w:color w:val="0000EE"/>
                </w:rPr>
                <w:t>COMPENSATION PROCESS: ROLES AND RESPONSIBILITIES</w:t>
              </w:r>
            </w:hyperlink>
          </w:p>
        </w:tc>
        <w:tc>
          <w:tcPr>
            <w:tcW w:w="4080" w:type="dxa"/>
            <w:vAlign w:val="bottom"/>
            <w:gridSpan w:val="6"/>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tcBorders>
          </w:tcPr>
          <w:p>
            <w:pPr>
              <w:jc w:val="right"/>
              <w:spacing w:after="0"/>
              <w:rPr>
                <w:rFonts w:ascii="Arial" w:cs="Arial" w:eastAsia="Arial" w:hAnsi="Arial"/>
                <w:sz w:val="13"/>
                <w:szCs w:val="13"/>
                <w:b w:val="1"/>
                <w:bCs w:val="1"/>
                <w:color w:val="0000EE"/>
                <w:w w:val="96"/>
              </w:rPr>
            </w:pPr>
            <w:hyperlink w:anchor="page71">
              <w:r>
                <w:rPr>
                  <w:rFonts w:ascii="Arial" w:cs="Arial" w:eastAsia="Arial" w:hAnsi="Arial"/>
                  <w:sz w:val="13"/>
                  <w:szCs w:val="13"/>
                  <w:b w:val="1"/>
                  <w:bCs w:val="1"/>
                  <w:color w:val="0000EE"/>
                  <w:w w:val="96"/>
                </w:rPr>
                <w:t>70</w:t>
              </w:r>
            </w:hyperlink>
          </w:p>
        </w:tc>
      </w:tr>
      <w:tr>
        <w:trPr>
          <w:trHeight w:val="282"/>
        </w:trPr>
        <w:tc>
          <w:tcPr>
            <w:tcW w:w="3700" w:type="dxa"/>
            <w:vAlign w:val="bottom"/>
            <w:tcBorders>
              <w:top w:val="single" w:sz="8" w:color="0000EE"/>
            </w:tcBorders>
            <w:gridSpan w:val="24"/>
          </w:tcPr>
          <w:p>
            <w:pPr>
              <w:spacing w:after="0"/>
              <w:rPr>
                <w:rFonts w:ascii="Arial" w:cs="Arial" w:eastAsia="Arial" w:hAnsi="Arial"/>
                <w:sz w:val="13"/>
                <w:szCs w:val="13"/>
                <w:b w:val="1"/>
                <w:bCs w:val="1"/>
                <w:color w:val="0000EE"/>
              </w:rPr>
            </w:pPr>
            <w:hyperlink w:anchor="page73">
              <w:r>
                <w:rPr>
                  <w:rFonts w:ascii="Arial" w:cs="Arial" w:eastAsia="Arial" w:hAnsi="Arial"/>
                  <w:sz w:val="13"/>
                  <w:szCs w:val="13"/>
                  <w:b w:val="1"/>
                  <w:bCs w:val="1"/>
                  <w:color w:val="0000EE"/>
                </w:rPr>
                <w:t>COMPONENTS OF EXECUTIVE COMPENSATION FOR 2020</w:t>
              </w:r>
            </w:hyperlink>
          </w:p>
        </w:tc>
        <w:tc>
          <w:tcPr>
            <w:tcW w:w="4240" w:type="dxa"/>
            <w:vAlign w:val="bottom"/>
            <w:gridSpan w:val="7"/>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tcBorders>
          </w:tcPr>
          <w:p>
            <w:pPr>
              <w:jc w:val="right"/>
              <w:spacing w:after="0"/>
              <w:rPr>
                <w:rFonts w:ascii="Arial" w:cs="Arial" w:eastAsia="Arial" w:hAnsi="Arial"/>
                <w:sz w:val="13"/>
                <w:szCs w:val="13"/>
                <w:b w:val="1"/>
                <w:bCs w:val="1"/>
                <w:color w:val="0000EE"/>
                <w:w w:val="96"/>
              </w:rPr>
            </w:pPr>
            <w:hyperlink w:anchor="page73">
              <w:r>
                <w:rPr>
                  <w:rFonts w:ascii="Arial" w:cs="Arial" w:eastAsia="Arial" w:hAnsi="Arial"/>
                  <w:sz w:val="13"/>
                  <w:szCs w:val="13"/>
                  <w:b w:val="1"/>
                  <w:bCs w:val="1"/>
                  <w:color w:val="0000EE"/>
                  <w:w w:val="96"/>
                </w:rPr>
                <w:t>72</w:t>
              </w:r>
            </w:hyperlink>
          </w:p>
        </w:tc>
      </w:tr>
      <w:tr>
        <w:trPr>
          <w:trHeight w:val="282"/>
        </w:trPr>
        <w:tc>
          <w:tcPr>
            <w:tcW w:w="3540" w:type="dxa"/>
            <w:vAlign w:val="bottom"/>
            <w:tcBorders>
              <w:top w:val="single" w:sz="8" w:color="0000EE"/>
            </w:tcBorders>
            <w:gridSpan w:val="23"/>
          </w:tcPr>
          <w:p>
            <w:pPr>
              <w:spacing w:after="0"/>
              <w:rPr>
                <w:rFonts w:ascii="Arial" w:cs="Arial" w:eastAsia="Arial" w:hAnsi="Arial"/>
                <w:sz w:val="13"/>
                <w:szCs w:val="13"/>
                <w:b w:val="1"/>
                <w:bCs w:val="1"/>
                <w:color w:val="0000EE"/>
              </w:rPr>
            </w:pPr>
            <w:hyperlink w:anchor="page74">
              <w:r>
                <w:rPr>
                  <w:rFonts w:ascii="Arial" w:cs="Arial" w:eastAsia="Arial" w:hAnsi="Arial"/>
                  <w:sz w:val="13"/>
                  <w:szCs w:val="13"/>
                  <w:b w:val="1"/>
                  <w:bCs w:val="1"/>
                  <w:color w:val="0000EE"/>
                </w:rPr>
                <w:t>DETAILED REVIEW OF COMPENSATION COMPONENTS</w:t>
              </w:r>
            </w:hyperlink>
          </w:p>
        </w:tc>
        <w:tc>
          <w:tcPr>
            <w:tcW w:w="4400" w:type="dxa"/>
            <w:vAlign w:val="bottom"/>
            <w:gridSpan w:val="8"/>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tcBorders>
          </w:tcPr>
          <w:p>
            <w:pPr>
              <w:jc w:val="right"/>
              <w:spacing w:after="0"/>
              <w:rPr>
                <w:rFonts w:ascii="Arial" w:cs="Arial" w:eastAsia="Arial" w:hAnsi="Arial"/>
                <w:sz w:val="13"/>
                <w:szCs w:val="13"/>
                <w:b w:val="1"/>
                <w:bCs w:val="1"/>
                <w:color w:val="0000EE"/>
                <w:w w:val="96"/>
              </w:rPr>
            </w:pPr>
            <w:hyperlink w:anchor="page74">
              <w:r>
                <w:rPr>
                  <w:rFonts w:ascii="Arial" w:cs="Arial" w:eastAsia="Arial" w:hAnsi="Arial"/>
                  <w:sz w:val="13"/>
                  <w:szCs w:val="13"/>
                  <w:b w:val="1"/>
                  <w:bCs w:val="1"/>
                  <w:color w:val="0000EE"/>
                  <w:w w:val="96"/>
                </w:rPr>
                <w:t>73</w:t>
              </w:r>
            </w:hyperlink>
          </w:p>
        </w:tc>
      </w:tr>
      <w:tr>
        <w:trPr>
          <w:trHeight w:val="282"/>
        </w:trPr>
        <w:tc>
          <w:tcPr>
            <w:tcW w:w="120" w:type="dxa"/>
            <w:vAlign w:val="bottom"/>
            <w:tcBorders>
              <w:top w:val="single" w:sz="8" w:color="0000EE"/>
            </w:tcBorders>
          </w:tcPr>
          <w:p>
            <w:pPr>
              <w:spacing w:after="0"/>
              <w:rPr>
                <w:sz w:val="24"/>
                <w:szCs w:val="24"/>
                <w:color w:val="auto"/>
              </w:rPr>
            </w:pPr>
          </w:p>
        </w:tc>
        <w:tc>
          <w:tcPr>
            <w:tcW w:w="3240" w:type="dxa"/>
            <w:vAlign w:val="bottom"/>
            <w:tcBorders>
              <w:top w:val="single" w:sz="8" w:color="0000EE"/>
            </w:tcBorders>
            <w:gridSpan w:val="19"/>
          </w:tcPr>
          <w:p>
            <w:pPr>
              <w:spacing w:after="0"/>
              <w:rPr>
                <w:rFonts w:ascii="Arial" w:cs="Arial" w:eastAsia="Arial" w:hAnsi="Arial"/>
                <w:sz w:val="13"/>
                <w:szCs w:val="13"/>
                <w:color w:val="0000EE"/>
              </w:rPr>
            </w:pPr>
            <w:hyperlink w:anchor="page74">
              <w:r>
                <w:rPr>
                  <w:rFonts w:ascii="Arial" w:cs="Arial" w:eastAsia="Arial" w:hAnsi="Arial"/>
                  <w:sz w:val="13"/>
                  <w:szCs w:val="13"/>
                  <w:color w:val="0000EE"/>
                </w:rPr>
                <w:t>Base Salary</w:t>
              </w:r>
            </w:hyperlink>
          </w:p>
        </w:tc>
        <w:tc>
          <w:tcPr>
            <w:tcW w:w="4580" w:type="dxa"/>
            <w:vAlign w:val="bottom"/>
            <w:gridSpan w:val="11"/>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tcBorders>
          </w:tcPr>
          <w:p>
            <w:pPr>
              <w:jc w:val="right"/>
              <w:spacing w:after="0"/>
              <w:rPr>
                <w:rFonts w:ascii="Arial" w:cs="Arial" w:eastAsia="Arial" w:hAnsi="Arial"/>
                <w:sz w:val="13"/>
                <w:szCs w:val="13"/>
                <w:color w:val="0000EE"/>
                <w:w w:val="96"/>
              </w:rPr>
            </w:pPr>
            <w:hyperlink w:anchor="page74">
              <w:r>
                <w:rPr>
                  <w:rFonts w:ascii="Arial" w:cs="Arial" w:eastAsia="Arial" w:hAnsi="Arial"/>
                  <w:sz w:val="13"/>
                  <w:szCs w:val="13"/>
                  <w:color w:val="0000EE"/>
                  <w:w w:val="96"/>
                </w:rPr>
                <w:t>73</w:t>
              </w:r>
            </w:hyperlink>
          </w:p>
        </w:tc>
      </w:tr>
      <w:tr>
        <w:trPr>
          <w:trHeight w:val="20"/>
        </w:trPr>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120" w:type="dxa"/>
            <w:vAlign w:val="bottom"/>
          </w:tcPr>
          <w:p>
            <w:pPr>
              <w:spacing w:after="0"/>
              <w:rPr>
                <w:sz w:val="24"/>
                <w:szCs w:val="24"/>
                <w:color w:val="auto"/>
              </w:rPr>
            </w:pPr>
          </w:p>
        </w:tc>
        <w:tc>
          <w:tcPr>
            <w:tcW w:w="7820" w:type="dxa"/>
            <w:vAlign w:val="bottom"/>
            <w:gridSpan w:val="30"/>
          </w:tcPr>
          <w:p>
            <w:pPr>
              <w:spacing w:after="0"/>
              <w:rPr>
                <w:rFonts w:ascii="Arial" w:cs="Arial" w:eastAsia="Arial" w:hAnsi="Arial"/>
                <w:sz w:val="13"/>
                <w:szCs w:val="13"/>
                <w:color w:val="0000EE"/>
              </w:rPr>
            </w:pPr>
            <w:hyperlink w:anchor="page76">
              <w:r>
                <w:rPr>
                  <w:rFonts w:ascii="Arial" w:cs="Arial" w:eastAsia="Arial" w:hAnsi="Arial"/>
                  <w:sz w:val="13"/>
                  <w:szCs w:val="13"/>
                  <w:color w:val="0000EE"/>
                </w:rPr>
                <w:t>Incentive Bonus</w:t>
              </w:r>
            </w:hyperlink>
          </w:p>
        </w:tc>
        <w:tc>
          <w:tcPr>
            <w:tcW w:w="3360" w:type="dxa"/>
            <w:vAlign w:val="bottom"/>
            <w:gridSpan w:val="2"/>
          </w:tcPr>
          <w:p>
            <w:pPr>
              <w:jc w:val="right"/>
              <w:spacing w:after="0"/>
              <w:rPr>
                <w:rFonts w:ascii="Arial" w:cs="Arial" w:eastAsia="Arial" w:hAnsi="Arial"/>
                <w:sz w:val="13"/>
                <w:szCs w:val="13"/>
                <w:color w:val="0000EE"/>
              </w:rPr>
            </w:pPr>
            <w:hyperlink w:anchor="page76">
              <w:r>
                <w:rPr>
                  <w:rFonts w:ascii="Arial" w:cs="Arial" w:eastAsia="Arial" w:hAnsi="Arial"/>
                  <w:sz w:val="13"/>
                  <w:szCs w:val="13"/>
                  <w:color w:val="0000EE"/>
                </w:rPr>
                <w:t>75</w:t>
              </w:r>
            </w:hyperlink>
          </w:p>
        </w:tc>
      </w:tr>
      <w:tr>
        <w:trPr>
          <w:trHeight w:val="20"/>
        </w:trPr>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120" w:type="dxa"/>
            <w:vAlign w:val="bottom"/>
          </w:tcPr>
          <w:p>
            <w:pPr>
              <w:spacing w:after="0"/>
              <w:rPr>
                <w:sz w:val="24"/>
                <w:szCs w:val="24"/>
                <w:color w:val="auto"/>
              </w:rPr>
            </w:pPr>
          </w:p>
        </w:tc>
        <w:tc>
          <w:tcPr>
            <w:tcW w:w="7820" w:type="dxa"/>
            <w:vAlign w:val="bottom"/>
            <w:gridSpan w:val="30"/>
          </w:tcPr>
          <w:p>
            <w:pPr>
              <w:spacing w:after="0"/>
              <w:rPr>
                <w:rFonts w:ascii="Arial" w:cs="Arial" w:eastAsia="Arial" w:hAnsi="Arial"/>
                <w:sz w:val="13"/>
                <w:szCs w:val="13"/>
                <w:color w:val="0000EE"/>
              </w:rPr>
            </w:pPr>
            <w:hyperlink w:anchor="page81">
              <w:r>
                <w:rPr>
                  <w:rFonts w:ascii="Arial" w:cs="Arial" w:eastAsia="Arial" w:hAnsi="Arial"/>
                  <w:sz w:val="13"/>
                  <w:szCs w:val="13"/>
                  <w:color w:val="0000EE"/>
                </w:rPr>
                <w:t>Long-Term Equity Incentives</w:t>
              </w:r>
            </w:hyperlink>
          </w:p>
        </w:tc>
        <w:tc>
          <w:tcPr>
            <w:tcW w:w="3360" w:type="dxa"/>
            <w:vAlign w:val="bottom"/>
            <w:gridSpan w:val="2"/>
          </w:tcPr>
          <w:p>
            <w:pPr>
              <w:jc w:val="right"/>
              <w:spacing w:after="0"/>
              <w:rPr>
                <w:rFonts w:ascii="Arial" w:cs="Arial" w:eastAsia="Arial" w:hAnsi="Arial"/>
                <w:sz w:val="13"/>
                <w:szCs w:val="13"/>
                <w:color w:val="0000EE"/>
              </w:rPr>
            </w:pPr>
            <w:hyperlink w:anchor="page81">
              <w:r>
                <w:rPr>
                  <w:rFonts w:ascii="Arial" w:cs="Arial" w:eastAsia="Arial" w:hAnsi="Arial"/>
                  <w:sz w:val="13"/>
                  <w:szCs w:val="13"/>
                  <w:color w:val="0000EE"/>
                </w:rPr>
                <w:t>80</w:t>
              </w:r>
            </w:hyperlink>
          </w:p>
        </w:tc>
      </w:tr>
      <w:tr>
        <w:trPr>
          <w:trHeight w:val="20"/>
        </w:trPr>
        <w:tc>
          <w:tcPr>
            <w:tcW w:w="1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7940" w:type="dxa"/>
            <w:vAlign w:val="bottom"/>
            <w:gridSpan w:val="31"/>
          </w:tcPr>
          <w:p>
            <w:pPr>
              <w:spacing w:after="0"/>
              <w:rPr>
                <w:rFonts w:ascii="Arial" w:cs="Arial" w:eastAsia="Arial" w:hAnsi="Arial"/>
                <w:sz w:val="13"/>
                <w:szCs w:val="13"/>
                <w:b w:val="1"/>
                <w:bCs w:val="1"/>
                <w:color w:val="0000EE"/>
              </w:rPr>
            </w:pPr>
            <w:hyperlink w:anchor="page82">
              <w:r>
                <w:rPr>
                  <w:rFonts w:ascii="Arial" w:cs="Arial" w:eastAsia="Arial" w:hAnsi="Arial"/>
                  <w:sz w:val="13"/>
                  <w:szCs w:val="13"/>
                  <w:b w:val="1"/>
                  <w:bCs w:val="1"/>
                  <w:color w:val="0000EE"/>
                </w:rPr>
                <w:t>FISCAL YEAR 2020 AWARDS</w:t>
              </w:r>
            </w:hyperlink>
          </w:p>
        </w:tc>
        <w:tc>
          <w:tcPr>
            <w:tcW w:w="3360" w:type="dxa"/>
            <w:vAlign w:val="bottom"/>
            <w:gridSpan w:val="2"/>
          </w:tcPr>
          <w:p>
            <w:pPr>
              <w:jc w:val="right"/>
              <w:spacing w:after="0"/>
              <w:rPr>
                <w:rFonts w:ascii="Arial" w:cs="Arial" w:eastAsia="Arial" w:hAnsi="Arial"/>
                <w:sz w:val="13"/>
                <w:szCs w:val="13"/>
                <w:b w:val="1"/>
                <w:bCs w:val="1"/>
                <w:color w:val="0000EE"/>
              </w:rPr>
            </w:pPr>
            <w:hyperlink w:anchor="page82">
              <w:r>
                <w:rPr>
                  <w:rFonts w:ascii="Arial" w:cs="Arial" w:eastAsia="Arial" w:hAnsi="Arial"/>
                  <w:sz w:val="13"/>
                  <w:szCs w:val="13"/>
                  <w:b w:val="1"/>
                  <w:bCs w:val="1"/>
                  <w:color w:val="0000EE"/>
                </w:rPr>
                <w:t>81</w:t>
              </w:r>
            </w:hyperlink>
          </w:p>
        </w:tc>
      </w:tr>
      <w:tr>
        <w:trPr>
          <w:trHeight w:val="20"/>
        </w:trPr>
        <w:tc>
          <w:tcPr>
            <w:tcW w:w="1340" w:type="dxa"/>
            <w:vAlign w:val="bottom"/>
            <w:gridSpan w:val="5"/>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7940" w:type="dxa"/>
            <w:vAlign w:val="bottom"/>
            <w:gridSpan w:val="31"/>
          </w:tcPr>
          <w:p>
            <w:pPr>
              <w:spacing w:after="0"/>
              <w:rPr>
                <w:rFonts w:ascii="Arial" w:cs="Arial" w:eastAsia="Arial" w:hAnsi="Arial"/>
                <w:sz w:val="13"/>
                <w:szCs w:val="13"/>
                <w:b w:val="1"/>
                <w:bCs w:val="1"/>
                <w:color w:val="0000EE"/>
              </w:rPr>
            </w:pPr>
            <w:hyperlink w:anchor="page83">
              <w:r>
                <w:rPr>
                  <w:rFonts w:ascii="Arial" w:cs="Arial" w:eastAsia="Arial" w:hAnsi="Arial"/>
                  <w:sz w:val="13"/>
                  <w:szCs w:val="13"/>
                  <w:b w:val="1"/>
                  <w:bCs w:val="1"/>
                  <w:color w:val="0000EE"/>
                </w:rPr>
                <w:t>PAYOUT OF AWARDS GRANTED IN PRIOR FISCAL YEARS</w:t>
              </w:r>
            </w:hyperlink>
          </w:p>
        </w:tc>
        <w:tc>
          <w:tcPr>
            <w:tcW w:w="3360" w:type="dxa"/>
            <w:vAlign w:val="bottom"/>
            <w:gridSpan w:val="2"/>
          </w:tcPr>
          <w:p>
            <w:pPr>
              <w:jc w:val="right"/>
              <w:spacing w:after="0"/>
              <w:rPr>
                <w:rFonts w:ascii="Arial" w:cs="Arial" w:eastAsia="Arial" w:hAnsi="Arial"/>
                <w:sz w:val="13"/>
                <w:szCs w:val="13"/>
                <w:b w:val="1"/>
                <w:bCs w:val="1"/>
                <w:color w:val="0000EE"/>
              </w:rPr>
            </w:pPr>
            <w:hyperlink w:anchor="page83">
              <w:r>
                <w:rPr>
                  <w:rFonts w:ascii="Arial" w:cs="Arial" w:eastAsia="Arial" w:hAnsi="Arial"/>
                  <w:sz w:val="13"/>
                  <w:szCs w:val="13"/>
                  <w:b w:val="1"/>
                  <w:bCs w:val="1"/>
                  <w:color w:val="0000EE"/>
                </w:rPr>
                <w:t>82</w:t>
              </w:r>
            </w:hyperlink>
          </w:p>
        </w:tc>
      </w:tr>
      <w:tr>
        <w:trPr>
          <w:trHeight w:val="282"/>
        </w:trPr>
        <w:tc>
          <w:tcPr>
            <w:tcW w:w="2500" w:type="dxa"/>
            <w:vAlign w:val="bottom"/>
            <w:tcBorders>
              <w:top w:val="single" w:sz="8" w:color="0000EE"/>
              <w:bottom w:val="single" w:sz="8" w:color="0000EE"/>
            </w:tcBorders>
            <w:gridSpan w:val="16"/>
          </w:tcPr>
          <w:p>
            <w:pPr>
              <w:spacing w:after="0"/>
              <w:rPr>
                <w:rFonts w:ascii="Arial" w:cs="Arial" w:eastAsia="Arial" w:hAnsi="Arial"/>
                <w:sz w:val="13"/>
                <w:szCs w:val="13"/>
                <w:b w:val="1"/>
                <w:bCs w:val="1"/>
                <w:color w:val="0000EE"/>
                <w:w w:val="96"/>
              </w:rPr>
            </w:pPr>
            <w:hyperlink w:anchor="page84">
              <w:r>
                <w:rPr>
                  <w:rFonts w:ascii="Arial" w:cs="Arial" w:eastAsia="Arial" w:hAnsi="Arial"/>
                  <w:sz w:val="13"/>
                  <w:szCs w:val="13"/>
                  <w:b w:val="1"/>
                  <w:bCs w:val="1"/>
                  <w:color w:val="0000EE"/>
                  <w:w w:val="96"/>
                </w:rPr>
                <w:t>NEW HIRE AWARDS FOR MR. NICOLELLI</w:t>
              </w:r>
            </w:hyperlink>
          </w:p>
        </w:tc>
        <w:tc>
          <w:tcPr>
            <w:tcW w:w="1020" w:type="dxa"/>
            <w:vAlign w:val="bottom"/>
            <w:tcBorders>
              <w:top w:val="single" w:sz="8" w:color="0000EE"/>
            </w:tcBorders>
            <w:gridSpan w:val="6"/>
          </w:tcPr>
          <w:p>
            <w:pPr>
              <w:spacing w:after="0"/>
              <w:rPr>
                <w:sz w:val="24"/>
                <w:szCs w:val="24"/>
                <w:color w:val="auto"/>
              </w:rPr>
            </w:pPr>
          </w:p>
        </w:tc>
        <w:tc>
          <w:tcPr>
            <w:tcW w:w="4420" w:type="dxa"/>
            <w:vAlign w:val="bottom"/>
            <w:gridSpan w:val="9"/>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3"/>
                <w:szCs w:val="13"/>
                <w:b w:val="1"/>
                <w:bCs w:val="1"/>
                <w:color w:val="0000EE"/>
                <w:w w:val="96"/>
              </w:rPr>
            </w:pPr>
            <w:hyperlink w:anchor="page84">
              <w:r>
                <w:rPr>
                  <w:rFonts w:ascii="Arial" w:cs="Arial" w:eastAsia="Arial" w:hAnsi="Arial"/>
                  <w:sz w:val="13"/>
                  <w:szCs w:val="13"/>
                  <w:b w:val="1"/>
                  <w:bCs w:val="1"/>
                  <w:color w:val="0000EE"/>
                  <w:w w:val="96"/>
                </w:rPr>
                <w:t>83</w:t>
              </w:r>
            </w:hyperlink>
          </w:p>
        </w:tc>
      </w:tr>
      <w:tr>
        <w:trPr>
          <w:trHeight w:val="282"/>
        </w:trPr>
        <w:tc>
          <w:tcPr>
            <w:tcW w:w="1840" w:type="dxa"/>
            <w:vAlign w:val="bottom"/>
            <w:tcBorders>
              <w:bottom w:val="single" w:sz="8" w:color="0000EE"/>
            </w:tcBorders>
            <w:gridSpan w:val="12"/>
          </w:tcPr>
          <w:p>
            <w:pPr>
              <w:spacing w:after="0"/>
              <w:rPr>
                <w:rFonts w:ascii="Arial" w:cs="Arial" w:eastAsia="Arial" w:hAnsi="Arial"/>
                <w:sz w:val="13"/>
                <w:szCs w:val="13"/>
                <w:b w:val="1"/>
                <w:bCs w:val="1"/>
                <w:color w:val="0000EE"/>
                <w:w w:val="97"/>
              </w:rPr>
            </w:pPr>
            <w:hyperlink w:anchor="page84">
              <w:r>
                <w:rPr>
                  <w:rFonts w:ascii="Arial" w:cs="Arial" w:eastAsia="Arial" w:hAnsi="Arial"/>
                  <w:sz w:val="13"/>
                  <w:szCs w:val="13"/>
                  <w:b w:val="1"/>
                  <w:bCs w:val="1"/>
                  <w:color w:val="0000EE"/>
                  <w:w w:val="97"/>
                </w:rPr>
                <w:t>BENEFITS AND PERQUISITES</w:t>
              </w:r>
            </w:hyperlink>
          </w:p>
        </w:tc>
        <w:tc>
          <w:tcPr>
            <w:tcW w:w="6100" w:type="dxa"/>
            <w:vAlign w:val="bottom"/>
            <w:gridSpan w:val="19"/>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3"/>
                <w:szCs w:val="13"/>
                <w:b w:val="1"/>
                <w:bCs w:val="1"/>
                <w:color w:val="0000EE"/>
                <w:w w:val="96"/>
              </w:rPr>
            </w:pPr>
            <w:hyperlink w:anchor="page84">
              <w:r>
                <w:rPr>
                  <w:rFonts w:ascii="Arial" w:cs="Arial" w:eastAsia="Arial" w:hAnsi="Arial"/>
                  <w:sz w:val="13"/>
                  <w:szCs w:val="13"/>
                  <w:b w:val="1"/>
                  <w:bCs w:val="1"/>
                  <w:color w:val="0000EE"/>
                  <w:w w:val="96"/>
                </w:rPr>
                <w:t>83</w:t>
              </w:r>
            </w:hyperlink>
          </w:p>
        </w:tc>
      </w:tr>
      <w:tr>
        <w:trPr>
          <w:trHeight w:val="282"/>
        </w:trPr>
        <w:tc>
          <w:tcPr>
            <w:tcW w:w="2300" w:type="dxa"/>
            <w:vAlign w:val="bottom"/>
            <w:tcBorders>
              <w:bottom w:val="single" w:sz="8" w:color="0000EE"/>
            </w:tcBorders>
            <w:gridSpan w:val="15"/>
          </w:tcPr>
          <w:p>
            <w:pPr>
              <w:spacing w:after="0"/>
              <w:rPr>
                <w:rFonts w:ascii="Arial" w:cs="Arial" w:eastAsia="Arial" w:hAnsi="Arial"/>
                <w:sz w:val="13"/>
                <w:szCs w:val="13"/>
                <w:b w:val="1"/>
                <w:bCs w:val="1"/>
                <w:color w:val="0000EE"/>
                <w:w w:val="96"/>
              </w:rPr>
            </w:pPr>
            <w:hyperlink w:anchor="page84">
              <w:r>
                <w:rPr>
                  <w:rFonts w:ascii="Arial" w:cs="Arial" w:eastAsia="Arial" w:hAnsi="Arial"/>
                  <w:sz w:val="13"/>
                  <w:szCs w:val="13"/>
                  <w:b w:val="1"/>
                  <w:bCs w:val="1"/>
                  <w:color w:val="0000EE"/>
                  <w:w w:val="96"/>
                </w:rPr>
                <w:t>RISK AND COMPENSATION POLICIES</w:t>
              </w:r>
            </w:hyperlink>
          </w:p>
        </w:tc>
        <w:tc>
          <w:tcPr>
            <w:tcW w:w="5640" w:type="dxa"/>
            <w:vAlign w:val="bottom"/>
            <w:gridSpan w:val="16"/>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3"/>
                <w:szCs w:val="13"/>
                <w:b w:val="1"/>
                <w:bCs w:val="1"/>
                <w:color w:val="0000EE"/>
                <w:w w:val="96"/>
              </w:rPr>
            </w:pPr>
            <w:hyperlink w:anchor="page84">
              <w:r>
                <w:rPr>
                  <w:rFonts w:ascii="Arial" w:cs="Arial" w:eastAsia="Arial" w:hAnsi="Arial"/>
                  <w:sz w:val="13"/>
                  <w:szCs w:val="13"/>
                  <w:b w:val="1"/>
                  <w:bCs w:val="1"/>
                  <w:color w:val="0000EE"/>
                  <w:w w:val="96"/>
                </w:rPr>
                <w:t>83</w:t>
              </w:r>
            </w:hyperlink>
          </w:p>
        </w:tc>
      </w:tr>
      <w:tr>
        <w:trPr>
          <w:trHeight w:val="282"/>
        </w:trPr>
        <w:tc>
          <w:tcPr>
            <w:tcW w:w="3180" w:type="dxa"/>
            <w:vAlign w:val="bottom"/>
            <w:tcBorders>
              <w:bottom w:val="single" w:sz="8" w:color="0000EE"/>
            </w:tcBorders>
            <w:gridSpan w:val="18"/>
          </w:tcPr>
          <w:p>
            <w:pPr>
              <w:spacing w:after="0"/>
              <w:rPr>
                <w:rFonts w:ascii="Arial" w:cs="Arial" w:eastAsia="Arial" w:hAnsi="Arial"/>
                <w:sz w:val="13"/>
                <w:szCs w:val="13"/>
                <w:b w:val="1"/>
                <w:bCs w:val="1"/>
                <w:color w:val="0000EE"/>
                <w:w w:val="96"/>
              </w:rPr>
            </w:pPr>
            <w:hyperlink w:anchor="page84">
              <w:r>
                <w:rPr>
                  <w:rFonts w:ascii="Arial" w:cs="Arial" w:eastAsia="Arial" w:hAnsi="Arial"/>
                  <w:sz w:val="13"/>
                  <w:szCs w:val="13"/>
                  <w:b w:val="1"/>
                  <w:bCs w:val="1"/>
                  <w:color w:val="0000EE"/>
                  <w:w w:val="96"/>
                </w:rPr>
                <w:t>SEVERANCE AND CHANGE-IN-CONTROL BENEFITS</w:t>
              </w:r>
            </w:hyperlink>
          </w:p>
        </w:tc>
        <w:tc>
          <w:tcPr>
            <w:tcW w:w="4760" w:type="dxa"/>
            <w:vAlign w:val="bottom"/>
            <w:gridSpan w:val="13"/>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3"/>
                <w:szCs w:val="13"/>
                <w:b w:val="1"/>
                <w:bCs w:val="1"/>
                <w:color w:val="0000EE"/>
                <w:w w:val="96"/>
              </w:rPr>
            </w:pPr>
            <w:hyperlink w:anchor="page84">
              <w:r>
                <w:rPr>
                  <w:rFonts w:ascii="Arial" w:cs="Arial" w:eastAsia="Arial" w:hAnsi="Arial"/>
                  <w:sz w:val="13"/>
                  <w:szCs w:val="13"/>
                  <w:b w:val="1"/>
                  <w:bCs w:val="1"/>
                  <w:color w:val="0000EE"/>
                  <w:w w:val="96"/>
                </w:rPr>
                <w:t>83</w:t>
              </w:r>
            </w:hyperlink>
          </w:p>
        </w:tc>
      </w:tr>
      <w:tr>
        <w:trPr>
          <w:trHeight w:val="282"/>
        </w:trPr>
        <w:tc>
          <w:tcPr>
            <w:tcW w:w="7940" w:type="dxa"/>
            <w:vAlign w:val="bottom"/>
            <w:gridSpan w:val="31"/>
          </w:tcPr>
          <w:p>
            <w:pPr>
              <w:spacing w:after="0"/>
              <w:rPr>
                <w:rFonts w:ascii="Arial" w:cs="Arial" w:eastAsia="Arial" w:hAnsi="Arial"/>
                <w:sz w:val="13"/>
                <w:szCs w:val="13"/>
                <w:b w:val="1"/>
                <w:bCs w:val="1"/>
                <w:color w:val="0000EE"/>
              </w:rPr>
            </w:pPr>
            <w:hyperlink w:anchor="page85">
              <w:r>
                <w:rPr>
                  <w:rFonts w:ascii="Arial" w:cs="Arial" w:eastAsia="Arial" w:hAnsi="Arial"/>
                  <w:sz w:val="13"/>
                  <w:szCs w:val="13"/>
                  <w:b w:val="1"/>
                  <w:bCs w:val="1"/>
                  <w:color w:val="0000EE"/>
                </w:rPr>
                <w:t>REVISED EMPLOYMENT AGREEMENT FOR MR. KAPOOR</w:t>
              </w:r>
            </w:hyperlink>
          </w:p>
        </w:tc>
        <w:tc>
          <w:tcPr>
            <w:tcW w:w="3360" w:type="dxa"/>
            <w:vAlign w:val="bottom"/>
            <w:gridSpan w:val="2"/>
          </w:tcPr>
          <w:p>
            <w:pPr>
              <w:jc w:val="right"/>
              <w:spacing w:after="0"/>
              <w:rPr>
                <w:rFonts w:ascii="Arial" w:cs="Arial" w:eastAsia="Arial" w:hAnsi="Arial"/>
                <w:sz w:val="13"/>
                <w:szCs w:val="13"/>
                <w:b w:val="1"/>
                <w:bCs w:val="1"/>
                <w:color w:val="0000EE"/>
              </w:rPr>
            </w:pPr>
            <w:hyperlink w:anchor="page85">
              <w:r>
                <w:rPr>
                  <w:rFonts w:ascii="Arial" w:cs="Arial" w:eastAsia="Arial" w:hAnsi="Arial"/>
                  <w:sz w:val="13"/>
                  <w:szCs w:val="13"/>
                  <w:b w:val="1"/>
                  <w:bCs w:val="1"/>
                  <w:color w:val="0000EE"/>
                </w:rPr>
                <w:t>84</w:t>
              </w:r>
            </w:hyperlink>
          </w:p>
        </w:tc>
      </w:tr>
      <w:tr>
        <w:trPr>
          <w:trHeight w:val="282"/>
        </w:trPr>
        <w:tc>
          <w:tcPr>
            <w:tcW w:w="1340" w:type="dxa"/>
            <w:vAlign w:val="bottom"/>
            <w:tcBorders>
              <w:top w:val="single" w:sz="8" w:color="0000EE"/>
              <w:bottom w:val="single" w:sz="8" w:color="0000EE"/>
            </w:tcBorders>
            <w:gridSpan w:val="5"/>
          </w:tcPr>
          <w:p>
            <w:pPr>
              <w:spacing w:after="0"/>
              <w:rPr>
                <w:rFonts w:ascii="Arial" w:cs="Arial" w:eastAsia="Arial" w:hAnsi="Arial"/>
                <w:sz w:val="13"/>
                <w:szCs w:val="13"/>
                <w:b w:val="1"/>
                <w:bCs w:val="1"/>
                <w:color w:val="0000EE"/>
                <w:w w:val="95"/>
              </w:rPr>
            </w:pPr>
            <w:hyperlink w:anchor="page85">
              <w:r>
                <w:rPr>
                  <w:rFonts w:ascii="Arial" w:cs="Arial" w:eastAsia="Arial" w:hAnsi="Arial"/>
                  <w:sz w:val="13"/>
                  <w:szCs w:val="13"/>
                  <w:b w:val="1"/>
                  <w:bCs w:val="1"/>
                  <w:color w:val="0000EE"/>
                  <w:w w:val="95"/>
                </w:rPr>
                <w:t>2021 COMPENSATION</w:t>
              </w:r>
            </w:hyperlink>
          </w:p>
        </w:tc>
        <w:tc>
          <w:tcPr>
            <w:tcW w:w="2140" w:type="dxa"/>
            <w:vAlign w:val="bottom"/>
            <w:tcBorders>
              <w:top w:val="single" w:sz="8" w:color="0000EE"/>
            </w:tcBorders>
            <w:gridSpan w:val="16"/>
          </w:tcPr>
          <w:p>
            <w:pPr>
              <w:spacing w:after="0"/>
              <w:rPr>
                <w:sz w:val="24"/>
                <w:szCs w:val="24"/>
                <w:color w:val="auto"/>
              </w:rPr>
            </w:pPr>
          </w:p>
        </w:tc>
        <w:tc>
          <w:tcPr>
            <w:tcW w:w="4460" w:type="dxa"/>
            <w:vAlign w:val="bottom"/>
            <w:gridSpan w:val="10"/>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3"/>
                <w:szCs w:val="13"/>
                <w:b w:val="1"/>
                <w:bCs w:val="1"/>
                <w:color w:val="0000EE"/>
                <w:w w:val="96"/>
              </w:rPr>
            </w:pPr>
            <w:hyperlink w:anchor="page85">
              <w:r>
                <w:rPr>
                  <w:rFonts w:ascii="Arial" w:cs="Arial" w:eastAsia="Arial" w:hAnsi="Arial"/>
                  <w:sz w:val="13"/>
                  <w:szCs w:val="13"/>
                  <w:b w:val="1"/>
                  <w:bCs w:val="1"/>
                  <w:color w:val="0000EE"/>
                  <w:w w:val="96"/>
                </w:rPr>
                <w:t>84</w:t>
              </w:r>
            </w:hyperlink>
          </w:p>
        </w:tc>
      </w:tr>
      <w:tr>
        <w:trPr>
          <w:trHeight w:val="282"/>
        </w:trPr>
        <w:tc>
          <w:tcPr>
            <w:tcW w:w="3300" w:type="dxa"/>
            <w:vAlign w:val="bottom"/>
            <w:tcBorders>
              <w:bottom w:val="single" w:sz="8" w:color="0000EE"/>
            </w:tcBorders>
            <w:gridSpan w:val="19"/>
          </w:tcPr>
          <w:p>
            <w:pPr>
              <w:spacing w:after="0"/>
              <w:rPr>
                <w:rFonts w:ascii="Arial" w:cs="Arial" w:eastAsia="Arial" w:hAnsi="Arial"/>
                <w:sz w:val="13"/>
                <w:szCs w:val="13"/>
                <w:b w:val="1"/>
                <w:bCs w:val="1"/>
                <w:color w:val="0000EE"/>
                <w:w w:val="96"/>
              </w:rPr>
            </w:pPr>
            <w:hyperlink w:anchor="page85">
              <w:r>
                <w:rPr>
                  <w:rFonts w:ascii="Arial" w:cs="Arial" w:eastAsia="Arial" w:hAnsi="Arial"/>
                  <w:sz w:val="13"/>
                  <w:szCs w:val="13"/>
                  <w:b w:val="1"/>
                  <w:bCs w:val="1"/>
                  <w:color w:val="0000EE"/>
                  <w:w w:val="96"/>
                </w:rPr>
                <w:t>DEDUCTIBILITY CAP ON EXECUTIVE COMPENSATION</w:t>
              </w:r>
            </w:hyperlink>
          </w:p>
        </w:tc>
        <w:tc>
          <w:tcPr>
            <w:tcW w:w="4640" w:type="dxa"/>
            <w:vAlign w:val="bottom"/>
            <w:gridSpan w:val="12"/>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3"/>
                <w:szCs w:val="13"/>
                <w:b w:val="1"/>
                <w:bCs w:val="1"/>
                <w:color w:val="0000EE"/>
                <w:w w:val="96"/>
              </w:rPr>
            </w:pPr>
            <w:hyperlink w:anchor="page85">
              <w:r>
                <w:rPr>
                  <w:rFonts w:ascii="Arial" w:cs="Arial" w:eastAsia="Arial" w:hAnsi="Arial"/>
                  <w:sz w:val="13"/>
                  <w:szCs w:val="13"/>
                  <w:b w:val="1"/>
                  <w:bCs w:val="1"/>
                  <w:color w:val="0000EE"/>
                  <w:w w:val="96"/>
                </w:rPr>
                <w:t>84</w:t>
              </w:r>
            </w:hyperlink>
          </w:p>
        </w:tc>
      </w:tr>
      <w:tr>
        <w:trPr>
          <w:trHeight w:val="282"/>
        </w:trPr>
        <w:tc>
          <w:tcPr>
            <w:tcW w:w="7940" w:type="dxa"/>
            <w:vAlign w:val="bottom"/>
            <w:gridSpan w:val="31"/>
          </w:tcPr>
          <w:p>
            <w:pPr>
              <w:spacing w:after="0"/>
              <w:rPr>
                <w:rFonts w:ascii="Arial" w:cs="Arial" w:eastAsia="Arial" w:hAnsi="Arial"/>
                <w:sz w:val="13"/>
                <w:szCs w:val="13"/>
                <w:b w:val="1"/>
                <w:bCs w:val="1"/>
                <w:color w:val="0000EE"/>
              </w:rPr>
            </w:pPr>
            <w:hyperlink w:anchor="page89">
              <w:r>
                <w:rPr>
                  <w:rFonts w:ascii="Arial" w:cs="Arial" w:eastAsia="Arial" w:hAnsi="Arial"/>
                  <w:sz w:val="13"/>
                  <w:szCs w:val="13"/>
                  <w:b w:val="1"/>
                  <w:bCs w:val="1"/>
                  <w:color w:val="0000EE"/>
                </w:rPr>
                <w:t>GRANTS OF PLAN-BASED AWARDS TABLE FOR FISCAL YEAR 2020</w:t>
              </w:r>
            </w:hyperlink>
          </w:p>
        </w:tc>
        <w:tc>
          <w:tcPr>
            <w:tcW w:w="3360" w:type="dxa"/>
            <w:vAlign w:val="bottom"/>
            <w:gridSpan w:val="2"/>
          </w:tcPr>
          <w:p>
            <w:pPr>
              <w:jc w:val="right"/>
              <w:spacing w:after="0"/>
              <w:rPr>
                <w:rFonts w:ascii="Arial" w:cs="Arial" w:eastAsia="Arial" w:hAnsi="Arial"/>
                <w:sz w:val="13"/>
                <w:szCs w:val="13"/>
                <w:b w:val="1"/>
                <w:bCs w:val="1"/>
                <w:color w:val="0000EE"/>
              </w:rPr>
            </w:pPr>
            <w:hyperlink w:anchor="page89">
              <w:r>
                <w:rPr>
                  <w:rFonts w:ascii="Arial" w:cs="Arial" w:eastAsia="Arial" w:hAnsi="Arial"/>
                  <w:sz w:val="13"/>
                  <w:szCs w:val="13"/>
                  <w:b w:val="1"/>
                  <w:bCs w:val="1"/>
                  <w:color w:val="0000EE"/>
                </w:rPr>
                <w:t>88</w:t>
              </w:r>
            </w:hyperlink>
          </w:p>
        </w:tc>
      </w:tr>
      <w:tr>
        <w:trPr>
          <w:trHeight w:val="282"/>
        </w:trPr>
        <w:tc>
          <w:tcPr>
            <w:tcW w:w="1820" w:type="dxa"/>
            <w:vAlign w:val="bottom"/>
            <w:tcBorders>
              <w:top w:val="single" w:sz="8" w:color="0000EE"/>
              <w:bottom w:val="single" w:sz="8" w:color="0000EE"/>
            </w:tcBorders>
            <w:gridSpan w:val="11"/>
          </w:tcPr>
          <w:p>
            <w:pPr>
              <w:spacing w:after="0"/>
              <w:rPr>
                <w:rFonts w:ascii="Arial" w:cs="Arial" w:eastAsia="Arial" w:hAnsi="Arial"/>
                <w:sz w:val="13"/>
                <w:szCs w:val="13"/>
                <w:b w:val="1"/>
                <w:bCs w:val="1"/>
                <w:color w:val="0000EE"/>
                <w:w w:val="96"/>
              </w:rPr>
            </w:pPr>
            <w:hyperlink w:anchor="page90">
              <w:r>
                <w:rPr>
                  <w:rFonts w:ascii="Arial" w:cs="Arial" w:eastAsia="Arial" w:hAnsi="Arial"/>
                  <w:sz w:val="13"/>
                  <w:szCs w:val="13"/>
                  <w:b w:val="1"/>
                  <w:bCs w:val="1"/>
                  <w:color w:val="0000EE"/>
                  <w:w w:val="96"/>
                </w:rPr>
                <w:t>EMPLOYMENT AGREEMENTS</w:t>
              </w:r>
            </w:hyperlink>
          </w:p>
        </w:tc>
        <w:tc>
          <w:tcPr>
            <w:tcW w:w="2320" w:type="dxa"/>
            <w:vAlign w:val="bottom"/>
            <w:tcBorders>
              <w:top w:val="single" w:sz="8" w:color="0000EE"/>
            </w:tcBorders>
            <w:gridSpan w:val="16"/>
          </w:tcPr>
          <w:p>
            <w:pPr>
              <w:spacing w:after="0"/>
              <w:rPr>
                <w:sz w:val="24"/>
                <w:szCs w:val="24"/>
                <w:color w:val="auto"/>
              </w:rPr>
            </w:pPr>
          </w:p>
        </w:tc>
        <w:tc>
          <w:tcPr>
            <w:tcW w:w="3800" w:type="dxa"/>
            <w:vAlign w:val="bottom"/>
            <w:gridSpan w:val="4"/>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3"/>
                <w:szCs w:val="13"/>
                <w:b w:val="1"/>
                <w:bCs w:val="1"/>
                <w:color w:val="0000EE"/>
                <w:w w:val="96"/>
              </w:rPr>
            </w:pPr>
            <w:hyperlink w:anchor="page90">
              <w:r>
                <w:rPr>
                  <w:rFonts w:ascii="Arial" w:cs="Arial" w:eastAsia="Arial" w:hAnsi="Arial"/>
                  <w:sz w:val="13"/>
                  <w:szCs w:val="13"/>
                  <w:b w:val="1"/>
                  <w:bCs w:val="1"/>
                  <w:color w:val="0000EE"/>
                  <w:w w:val="96"/>
                </w:rPr>
                <w:t>89</w:t>
              </w:r>
            </w:hyperlink>
          </w:p>
        </w:tc>
      </w:tr>
      <w:tr>
        <w:trPr>
          <w:trHeight w:val="282"/>
        </w:trPr>
        <w:tc>
          <w:tcPr>
            <w:tcW w:w="7940" w:type="dxa"/>
            <w:vAlign w:val="bottom"/>
            <w:gridSpan w:val="31"/>
          </w:tcPr>
          <w:p>
            <w:pPr>
              <w:spacing w:after="0"/>
              <w:rPr>
                <w:rFonts w:ascii="Arial" w:cs="Arial" w:eastAsia="Arial" w:hAnsi="Arial"/>
                <w:sz w:val="13"/>
                <w:szCs w:val="13"/>
                <w:b w:val="1"/>
                <w:bCs w:val="1"/>
                <w:color w:val="0000EE"/>
              </w:rPr>
            </w:pPr>
            <w:hyperlink w:anchor="page93">
              <w:r>
                <w:rPr>
                  <w:rFonts w:ascii="Arial" w:cs="Arial" w:eastAsia="Arial" w:hAnsi="Arial"/>
                  <w:sz w:val="13"/>
                  <w:szCs w:val="13"/>
                  <w:b w:val="1"/>
                  <w:bCs w:val="1"/>
                  <w:color w:val="0000EE"/>
                </w:rPr>
                <w:t>OUTSTANDING EQUITY AWARDS AT FISCAL 2020 YEAR-END</w:t>
              </w:r>
            </w:hyperlink>
          </w:p>
        </w:tc>
        <w:tc>
          <w:tcPr>
            <w:tcW w:w="3360" w:type="dxa"/>
            <w:vAlign w:val="bottom"/>
            <w:gridSpan w:val="2"/>
          </w:tcPr>
          <w:p>
            <w:pPr>
              <w:jc w:val="right"/>
              <w:spacing w:after="0"/>
              <w:rPr>
                <w:rFonts w:ascii="Arial" w:cs="Arial" w:eastAsia="Arial" w:hAnsi="Arial"/>
                <w:sz w:val="13"/>
                <w:szCs w:val="13"/>
                <w:b w:val="1"/>
                <w:bCs w:val="1"/>
                <w:color w:val="0000EE"/>
              </w:rPr>
            </w:pPr>
            <w:hyperlink w:anchor="page93">
              <w:r>
                <w:rPr>
                  <w:rFonts w:ascii="Arial" w:cs="Arial" w:eastAsia="Arial" w:hAnsi="Arial"/>
                  <w:sz w:val="13"/>
                  <w:szCs w:val="13"/>
                  <w:b w:val="1"/>
                  <w:bCs w:val="1"/>
                  <w:color w:val="0000EE"/>
                </w:rPr>
                <w:t>92</w:t>
              </w:r>
            </w:hyperlink>
          </w:p>
        </w:tc>
      </w:tr>
      <w:tr>
        <w:trPr>
          <w:trHeight w:val="20"/>
        </w:trPr>
        <w:tc>
          <w:tcPr>
            <w:tcW w:w="2720" w:type="dxa"/>
            <w:vAlign w:val="bottom"/>
            <w:tcBorders>
              <w:right w:val="single" w:sz="8" w:color="0000EE"/>
            </w:tcBorders>
            <w:gridSpan w:val="17"/>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4300" w:type="dxa"/>
            <w:vAlign w:val="bottom"/>
            <w:tcBorders>
              <w:bottom w:val="single" w:sz="8" w:color="0000EE"/>
            </w:tcBorders>
            <w:gridSpan w:val="29"/>
          </w:tcPr>
          <w:p>
            <w:pPr>
              <w:spacing w:after="0"/>
              <w:rPr>
                <w:rFonts w:ascii="Arial" w:cs="Arial" w:eastAsia="Arial" w:hAnsi="Arial"/>
                <w:sz w:val="13"/>
                <w:szCs w:val="13"/>
                <w:b w:val="1"/>
                <w:bCs w:val="1"/>
                <w:color w:val="0000EE"/>
                <w:w w:val="96"/>
              </w:rPr>
            </w:pPr>
            <w:hyperlink w:anchor="page94">
              <w:r>
                <w:rPr>
                  <w:rFonts w:ascii="Arial" w:cs="Arial" w:eastAsia="Arial" w:hAnsi="Arial"/>
                  <w:sz w:val="13"/>
                  <w:szCs w:val="13"/>
                  <w:b w:val="1"/>
                  <w:bCs w:val="1"/>
                  <w:color w:val="0000EE"/>
                  <w:w w:val="96"/>
                </w:rPr>
                <w:t>OPTION EXERCISES AND STOCK VESTED DURING FISCAL YEAR 2020</w:t>
              </w:r>
            </w:hyperlink>
          </w:p>
        </w:tc>
        <w:tc>
          <w:tcPr>
            <w:tcW w:w="3640" w:type="dxa"/>
            <w:vAlign w:val="bottom"/>
            <w:gridSpan w:val="2"/>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3"/>
                <w:szCs w:val="13"/>
                <w:b w:val="1"/>
                <w:bCs w:val="1"/>
                <w:color w:val="0000EE"/>
                <w:w w:val="96"/>
              </w:rPr>
            </w:pPr>
            <w:hyperlink w:anchor="page94">
              <w:r>
                <w:rPr>
                  <w:rFonts w:ascii="Arial" w:cs="Arial" w:eastAsia="Arial" w:hAnsi="Arial"/>
                  <w:sz w:val="13"/>
                  <w:szCs w:val="13"/>
                  <w:b w:val="1"/>
                  <w:bCs w:val="1"/>
                  <w:color w:val="0000EE"/>
                  <w:w w:val="96"/>
                </w:rPr>
                <w:t>93</w:t>
              </w:r>
            </w:hyperlink>
          </w:p>
        </w:tc>
      </w:tr>
      <w:tr>
        <w:trPr>
          <w:trHeight w:val="282"/>
        </w:trPr>
        <w:tc>
          <w:tcPr>
            <w:tcW w:w="7940" w:type="dxa"/>
            <w:vAlign w:val="bottom"/>
            <w:gridSpan w:val="31"/>
          </w:tcPr>
          <w:p>
            <w:pPr>
              <w:spacing w:after="0"/>
              <w:rPr>
                <w:rFonts w:ascii="Arial" w:cs="Arial" w:eastAsia="Arial" w:hAnsi="Arial"/>
                <w:sz w:val="13"/>
                <w:szCs w:val="13"/>
                <w:b w:val="1"/>
                <w:bCs w:val="1"/>
                <w:color w:val="0000EE"/>
              </w:rPr>
            </w:pPr>
            <w:hyperlink w:anchor="page94">
              <w:r>
                <w:rPr>
                  <w:rFonts w:ascii="Arial" w:cs="Arial" w:eastAsia="Arial" w:hAnsi="Arial"/>
                  <w:sz w:val="13"/>
                  <w:szCs w:val="13"/>
                  <w:b w:val="1"/>
                  <w:bCs w:val="1"/>
                  <w:color w:val="0000EE"/>
                </w:rPr>
                <w:t>PENSION BENEFITS FOR FISCAL YEAR 2020</w:t>
              </w:r>
            </w:hyperlink>
          </w:p>
        </w:tc>
        <w:tc>
          <w:tcPr>
            <w:tcW w:w="3360" w:type="dxa"/>
            <w:vAlign w:val="bottom"/>
            <w:gridSpan w:val="2"/>
          </w:tcPr>
          <w:p>
            <w:pPr>
              <w:jc w:val="right"/>
              <w:spacing w:after="0"/>
              <w:rPr>
                <w:rFonts w:ascii="Arial" w:cs="Arial" w:eastAsia="Arial" w:hAnsi="Arial"/>
                <w:sz w:val="13"/>
                <w:szCs w:val="13"/>
                <w:b w:val="1"/>
                <w:bCs w:val="1"/>
                <w:color w:val="0000EE"/>
              </w:rPr>
            </w:pPr>
            <w:hyperlink w:anchor="page94">
              <w:r>
                <w:rPr>
                  <w:rFonts w:ascii="Arial" w:cs="Arial" w:eastAsia="Arial" w:hAnsi="Arial"/>
                  <w:sz w:val="13"/>
                  <w:szCs w:val="13"/>
                  <w:b w:val="1"/>
                  <w:bCs w:val="1"/>
                  <w:color w:val="0000EE"/>
                </w:rPr>
                <w:t>93</w:t>
              </w:r>
            </w:hyperlink>
          </w:p>
        </w:tc>
      </w:tr>
      <w:tr>
        <w:trPr>
          <w:trHeight w:val="20"/>
        </w:trPr>
        <w:tc>
          <w:tcPr>
            <w:tcW w:w="2720" w:type="dxa"/>
            <w:vAlign w:val="bottom"/>
            <w:tcBorders>
              <w:right w:val="single" w:sz="8" w:color="0000EE"/>
            </w:tcBorders>
            <w:gridSpan w:val="17"/>
            <w:shd w:val="clear" w:color="auto" w:fill="0000EE"/>
          </w:tcPr>
          <w:p>
            <w:pPr>
              <w:spacing w:after="0" w:line="20" w:lineRule="exact"/>
              <w:rPr>
                <w:sz w:val="1"/>
                <w:szCs w:val="1"/>
                <w:color w:val="auto"/>
              </w:rPr>
            </w:pPr>
          </w:p>
        </w:tc>
        <w:tc>
          <w:tcPr>
            <w:tcW w:w="3340" w:type="dxa"/>
            <w:vAlign w:val="bottom"/>
            <w:gridSpan w:val="1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7940" w:type="dxa"/>
            <w:vAlign w:val="bottom"/>
            <w:gridSpan w:val="31"/>
          </w:tcPr>
          <w:p>
            <w:pPr>
              <w:spacing w:after="0"/>
              <w:rPr>
                <w:rFonts w:ascii="Arial" w:cs="Arial" w:eastAsia="Arial" w:hAnsi="Arial"/>
                <w:sz w:val="13"/>
                <w:szCs w:val="13"/>
                <w:b w:val="1"/>
                <w:bCs w:val="1"/>
                <w:color w:val="0000EE"/>
              </w:rPr>
            </w:pPr>
            <w:hyperlink w:anchor="page94">
              <w:r>
                <w:rPr>
                  <w:rFonts w:ascii="Arial" w:cs="Arial" w:eastAsia="Arial" w:hAnsi="Arial"/>
                  <w:sz w:val="13"/>
                  <w:szCs w:val="13"/>
                  <w:b w:val="1"/>
                  <w:bCs w:val="1"/>
                  <w:color w:val="0000EE"/>
                </w:rPr>
                <w:t>POTENTIAL PAYMENTS UPON TERMINATION OR CHANGE IN CONTROL AT FISCAL 2020 YEAR-END</w:t>
              </w:r>
            </w:hyperlink>
          </w:p>
        </w:tc>
        <w:tc>
          <w:tcPr>
            <w:tcW w:w="3360" w:type="dxa"/>
            <w:vAlign w:val="bottom"/>
            <w:gridSpan w:val="2"/>
          </w:tcPr>
          <w:p>
            <w:pPr>
              <w:jc w:val="right"/>
              <w:spacing w:after="0"/>
              <w:rPr>
                <w:rFonts w:ascii="Arial" w:cs="Arial" w:eastAsia="Arial" w:hAnsi="Arial"/>
                <w:sz w:val="13"/>
                <w:szCs w:val="13"/>
                <w:b w:val="1"/>
                <w:bCs w:val="1"/>
                <w:color w:val="0000EE"/>
              </w:rPr>
            </w:pPr>
            <w:hyperlink w:anchor="page94">
              <w:r>
                <w:rPr>
                  <w:rFonts w:ascii="Arial" w:cs="Arial" w:eastAsia="Arial" w:hAnsi="Arial"/>
                  <w:sz w:val="13"/>
                  <w:szCs w:val="13"/>
                  <w:b w:val="1"/>
                  <w:bCs w:val="1"/>
                  <w:color w:val="0000EE"/>
                </w:rPr>
                <w:t>93</w:t>
              </w:r>
            </w:hyperlink>
          </w:p>
        </w:tc>
      </w:tr>
      <w:tr>
        <w:trPr>
          <w:trHeight w:val="282"/>
        </w:trPr>
        <w:tc>
          <w:tcPr>
            <w:tcW w:w="6060" w:type="dxa"/>
            <w:vAlign w:val="bottom"/>
            <w:tcBorders>
              <w:top w:val="single" w:sz="8" w:color="0000EE"/>
            </w:tcBorders>
            <w:gridSpan w:val="30"/>
          </w:tcPr>
          <w:p>
            <w:pPr>
              <w:spacing w:after="0"/>
              <w:rPr>
                <w:rFonts w:ascii="Arial" w:cs="Arial" w:eastAsia="Arial" w:hAnsi="Arial"/>
                <w:sz w:val="13"/>
                <w:szCs w:val="13"/>
                <w:b w:val="1"/>
                <w:bCs w:val="1"/>
                <w:color w:val="0000EE"/>
              </w:rPr>
            </w:pPr>
            <w:hyperlink w:anchor="page97">
              <w:r>
                <w:rPr>
                  <w:rFonts w:ascii="Arial" w:cs="Arial" w:eastAsia="Arial" w:hAnsi="Arial"/>
                  <w:sz w:val="13"/>
                  <w:szCs w:val="13"/>
                  <w:b w:val="1"/>
                  <w:bCs w:val="1"/>
                  <w:color w:val="0000EE"/>
                </w:rPr>
                <w:t>INDICATIVE PAYOUTS FOR ROHIT KAPOOR</w:t>
              </w:r>
            </w:hyperlink>
          </w:p>
        </w:tc>
        <w:tc>
          <w:tcPr>
            <w:tcW w:w="1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Borders>
              <w:top w:val="single" w:sz="8" w:color="0000EE"/>
            </w:tcBorders>
          </w:tcPr>
          <w:p>
            <w:pPr>
              <w:jc w:val="right"/>
              <w:spacing w:after="0"/>
              <w:rPr>
                <w:rFonts w:ascii="Arial" w:cs="Arial" w:eastAsia="Arial" w:hAnsi="Arial"/>
                <w:sz w:val="13"/>
                <w:szCs w:val="13"/>
                <w:b w:val="1"/>
                <w:bCs w:val="1"/>
                <w:color w:val="0000EE"/>
                <w:w w:val="96"/>
              </w:rPr>
            </w:pPr>
            <w:hyperlink w:anchor="page97">
              <w:r>
                <w:rPr>
                  <w:rFonts w:ascii="Arial" w:cs="Arial" w:eastAsia="Arial" w:hAnsi="Arial"/>
                  <w:sz w:val="13"/>
                  <w:szCs w:val="13"/>
                  <w:b w:val="1"/>
                  <w:bCs w:val="1"/>
                  <w:color w:val="0000EE"/>
                  <w:w w:val="96"/>
                </w:rPr>
                <w:t>96</w:t>
              </w:r>
            </w:hyperlink>
          </w:p>
        </w:tc>
      </w:tr>
      <w:tr>
        <w:trPr>
          <w:trHeight w:val="660"/>
        </w:trPr>
        <w:tc>
          <w:tcPr>
            <w:tcW w:w="1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0" w:type="dxa"/>
            <w:vAlign w:val="bottom"/>
          </w:tcPr>
          <w:p>
            <w:pPr>
              <w:jc w:val="right"/>
              <w:ind w:right="77"/>
              <w:spacing w:after="0"/>
              <w:rPr>
                <w:sz w:val="20"/>
                <w:szCs w:val="20"/>
                <w:color w:val="auto"/>
              </w:rPr>
            </w:pPr>
            <w:r>
              <w:rPr>
                <w:rFonts w:ascii="Arial" w:cs="Arial" w:eastAsia="Arial" w:hAnsi="Arial"/>
                <w:sz w:val="13"/>
                <w:szCs w:val="13"/>
                <w:color w:val="FFFFFE"/>
              </w:rPr>
              <w:t>61</w:t>
            </w:r>
          </w:p>
        </w:tc>
        <w:tc>
          <w:tcPr>
            <w:tcW w:w="160" w:type="dxa"/>
            <w:vAlign w:val="bottom"/>
            <w:tcBorders>
              <w:top w:val="single" w:sz="8" w:color="0000EE"/>
            </w:tcBorders>
          </w:tcPr>
          <w:p>
            <w:pPr>
              <w:spacing w:after="0"/>
              <w:rPr>
                <w:sz w:val="24"/>
                <w:szCs w:val="24"/>
                <w:color w:val="auto"/>
              </w:rPr>
            </w:pPr>
          </w:p>
        </w:tc>
      </w:tr>
      <w:tr>
        <w:trPr>
          <w:trHeight w:val="414"/>
        </w:trPr>
        <w:tc>
          <w:tcPr>
            <w:tcW w:w="1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-12065</wp:posOffset>
            </wp:positionV>
            <wp:extent cx="1270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-496570</wp:posOffset>
            </wp:positionV>
            <wp:extent cx="1408430" cy="3333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2" w:name="page63"/>
    <w:bookmarkEnd w:id="62"/>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20" w:type="dxa"/>
            <w:vAlign w:val="bottom"/>
            <w:gridSpan w:val="7"/>
          </w:tcPr>
          <w:p>
            <w:pPr>
              <w:spacing w:after="0"/>
              <w:rPr>
                <w:sz w:val="20"/>
                <w:szCs w:val="20"/>
                <w:color w:val="auto"/>
              </w:rPr>
            </w:pPr>
            <w:r>
              <w:rPr>
                <w:rFonts w:ascii="Arial" w:cs="Arial" w:eastAsia="Arial" w:hAnsi="Arial"/>
                <w:sz w:val="10"/>
                <w:szCs w:val="10"/>
                <w:b w:val="1"/>
                <w:bCs w:val="1"/>
                <w:color w:val="CCD9D9"/>
              </w:rPr>
              <w:t>EXECUTIVE COMPENSATION</w:t>
            </w:r>
          </w:p>
        </w:tc>
        <w:tc>
          <w:tcPr>
            <w:tcW w:w="79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2"/>
        </w:trPr>
        <w:tc>
          <w:tcPr>
            <w:tcW w:w="3000" w:type="dxa"/>
            <w:vAlign w:val="bottom"/>
            <w:tcBorders>
              <w:bottom w:val="single" w:sz="8" w:color="0000EE"/>
            </w:tcBorders>
            <w:gridSpan w:val="6"/>
          </w:tcPr>
          <w:p>
            <w:pPr>
              <w:spacing w:after="0"/>
              <w:rPr>
                <w:rFonts w:ascii="Arial" w:cs="Arial" w:eastAsia="Arial" w:hAnsi="Arial"/>
                <w:sz w:val="13"/>
                <w:szCs w:val="13"/>
                <w:b w:val="1"/>
                <w:bCs w:val="1"/>
                <w:color w:val="0000EE"/>
                <w:w w:val="95"/>
              </w:rPr>
            </w:pPr>
            <w:hyperlink w:anchor="page99">
              <w:r>
                <w:rPr>
                  <w:rFonts w:ascii="Arial" w:cs="Arial" w:eastAsia="Arial" w:hAnsi="Arial"/>
                  <w:sz w:val="13"/>
                  <w:szCs w:val="13"/>
                  <w:b w:val="1"/>
                  <w:bCs w:val="1"/>
                  <w:color w:val="0000EE"/>
                  <w:w w:val="95"/>
                </w:rPr>
                <w:t>INDICATIVE PAYOUTS FOR MAURIZIO NICOLELLI</w:t>
              </w:r>
            </w:hyperlink>
          </w:p>
        </w:tc>
        <w:tc>
          <w:tcPr>
            <w:tcW w:w="220" w:type="dxa"/>
            <w:vAlign w:val="bottom"/>
          </w:tcPr>
          <w:p>
            <w:pPr>
              <w:spacing w:after="0"/>
              <w:rPr>
                <w:sz w:val="23"/>
                <w:szCs w:val="23"/>
                <w:color w:val="auto"/>
              </w:rPr>
            </w:pPr>
          </w:p>
        </w:tc>
        <w:tc>
          <w:tcPr>
            <w:tcW w:w="7920" w:type="dxa"/>
            <w:vAlign w:val="bottom"/>
          </w:tcPr>
          <w:p>
            <w:pPr>
              <w:spacing w:after="0"/>
              <w:rPr>
                <w:sz w:val="23"/>
                <w:szCs w:val="23"/>
                <w:color w:val="auto"/>
              </w:rPr>
            </w:pPr>
          </w:p>
        </w:tc>
        <w:tc>
          <w:tcPr>
            <w:tcW w:w="160" w:type="dxa"/>
            <w:vAlign w:val="bottom"/>
            <w:tcBorders>
              <w:bottom w:val="single" w:sz="8" w:color="0000EE"/>
            </w:tcBorders>
          </w:tcPr>
          <w:p>
            <w:pPr>
              <w:jc w:val="right"/>
              <w:spacing w:after="0"/>
              <w:rPr>
                <w:rFonts w:ascii="Arial" w:cs="Arial" w:eastAsia="Arial" w:hAnsi="Arial"/>
                <w:sz w:val="13"/>
                <w:szCs w:val="13"/>
                <w:b w:val="1"/>
                <w:bCs w:val="1"/>
                <w:color w:val="0000EE"/>
                <w:w w:val="96"/>
              </w:rPr>
            </w:pPr>
            <w:hyperlink w:anchor="page99">
              <w:r>
                <w:rPr>
                  <w:rFonts w:ascii="Arial" w:cs="Arial" w:eastAsia="Arial" w:hAnsi="Arial"/>
                  <w:sz w:val="13"/>
                  <w:szCs w:val="13"/>
                  <w:b w:val="1"/>
                  <w:bCs w:val="1"/>
                  <w:color w:val="0000EE"/>
                  <w:w w:val="96"/>
                </w:rPr>
                <w:t>98</w:t>
              </w:r>
            </w:hyperlink>
          </w:p>
        </w:tc>
      </w:tr>
      <w:tr>
        <w:trPr>
          <w:trHeight w:val="282"/>
        </w:trPr>
        <w:tc>
          <w:tcPr>
            <w:tcW w:w="3220" w:type="dxa"/>
            <w:vAlign w:val="bottom"/>
            <w:gridSpan w:val="7"/>
          </w:tcPr>
          <w:p>
            <w:pPr>
              <w:spacing w:after="0"/>
              <w:rPr>
                <w:rFonts w:ascii="Arial" w:cs="Arial" w:eastAsia="Arial" w:hAnsi="Arial"/>
                <w:sz w:val="13"/>
                <w:szCs w:val="13"/>
                <w:b w:val="1"/>
                <w:bCs w:val="1"/>
                <w:color w:val="0000EE"/>
              </w:rPr>
            </w:pPr>
            <w:hyperlink w:anchor="page99">
              <w:r>
                <w:rPr>
                  <w:rFonts w:ascii="Arial" w:cs="Arial" w:eastAsia="Arial" w:hAnsi="Arial"/>
                  <w:sz w:val="13"/>
                  <w:szCs w:val="13"/>
                  <w:b w:val="1"/>
                  <w:bCs w:val="1"/>
                  <w:color w:val="0000EE"/>
                </w:rPr>
                <w:t>INDICATIVE PAYOUTS FOR PAVAN BAGAI</w:t>
              </w:r>
            </w:hyperlink>
          </w:p>
        </w:tc>
        <w:tc>
          <w:tcPr>
            <w:tcW w:w="8080" w:type="dxa"/>
            <w:vAlign w:val="bottom"/>
            <w:gridSpan w:val="2"/>
          </w:tcPr>
          <w:p>
            <w:pPr>
              <w:jc w:val="right"/>
              <w:spacing w:after="0"/>
              <w:rPr>
                <w:rFonts w:ascii="Arial" w:cs="Arial" w:eastAsia="Arial" w:hAnsi="Arial"/>
                <w:sz w:val="13"/>
                <w:szCs w:val="13"/>
                <w:b w:val="1"/>
                <w:bCs w:val="1"/>
                <w:color w:val="0000EE"/>
              </w:rPr>
            </w:pPr>
            <w:hyperlink w:anchor="page99">
              <w:r>
                <w:rPr>
                  <w:rFonts w:ascii="Arial" w:cs="Arial" w:eastAsia="Arial" w:hAnsi="Arial"/>
                  <w:sz w:val="13"/>
                  <w:szCs w:val="13"/>
                  <w:b w:val="1"/>
                  <w:bCs w:val="1"/>
                  <w:color w:val="0000EE"/>
                </w:rPr>
                <w:t>98</w:t>
              </w:r>
            </w:hyperlink>
          </w:p>
        </w:tc>
      </w:tr>
      <w:tr>
        <w:trPr>
          <w:trHeight w:val="20"/>
        </w:trPr>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3220" w:type="dxa"/>
            <w:vAlign w:val="bottom"/>
            <w:gridSpan w:val="7"/>
          </w:tcPr>
          <w:p>
            <w:pPr>
              <w:spacing w:after="0"/>
              <w:rPr>
                <w:rFonts w:ascii="Arial" w:cs="Arial" w:eastAsia="Arial" w:hAnsi="Arial"/>
                <w:sz w:val="13"/>
                <w:szCs w:val="13"/>
                <w:b w:val="1"/>
                <w:bCs w:val="1"/>
                <w:color w:val="0000EE"/>
              </w:rPr>
            </w:pPr>
            <w:hyperlink w:anchor="page100">
              <w:r>
                <w:rPr>
                  <w:rFonts w:ascii="Arial" w:cs="Arial" w:eastAsia="Arial" w:hAnsi="Arial"/>
                  <w:sz w:val="13"/>
                  <w:szCs w:val="13"/>
                  <w:b w:val="1"/>
                  <w:bCs w:val="1"/>
                  <w:color w:val="0000EE"/>
                </w:rPr>
                <w:t>INDICATIVE PAYOUTS FOR NALIN MIGLANI</w:t>
              </w:r>
            </w:hyperlink>
          </w:p>
        </w:tc>
        <w:tc>
          <w:tcPr>
            <w:tcW w:w="8080" w:type="dxa"/>
            <w:vAlign w:val="bottom"/>
            <w:gridSpan w:val="2"/>
          </w:tcPr>
          <w:p>
            <w:pPr>
              <w:jc w:val="right"/>
              <w:spacing w:after="0"/>
              <w:rPr>
                <w:rFonts w:ascii="Arial" w:cs="Arial" w:eastAsia="Arial" w:hAnsi="Arial"/>
                <w:sz w:val="13"/>
                <w:szCs w:val="13"/>
                <w:b w:val="1"/>
                <w:bCs w:val="1"/>
                <w:color w:val="0000EE"/>
              </w:rPr>
            </w:pPr>
            <w:hyperlink w:anchor="page100">
              <w:r>
                <w:rPr>
                  <w:rFonts w:ascii="Arial" w:cs="Arial" w:eastAsia="Arial" w:hAnsi="Arial"/>
                  <w:sz w:val="13"/>
                  <w:szCs w:val="13"/>
                  <w:b w:val="1"/>
                  <w:bCs w:val="1"/>
                  <w:color w:val="0000EE"/>
                </w:rPr>
                <w:t>99</w:t>
              </w:r>
            </w:hyperlink>
          </w:p>
        </w:tc>
      </w:tr>
      <w:tr>
        <w:trPr>
          <w:trHeight w:val="20"/>
        </w:trPr>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2600" w:type="dxa"/>
            <w:vAlign w:val="bottom"/>
            <w:gridSpan w:val="4"/>
          </w:tcPr>
          <w:p>
            <w:pPr>
              <w:spacing w:after="0"/>
              <w:rPr>
                <w:rFonts w:ascii="Arial" w:cs="Arial" w:eastAsia="Arial" w:hAnsi="Arial"/>
                <w:sz w:val="13"/>
                <w:szCs w:val="13"/>
                <w:b w:val="1"/>
                <w:bCs w:val="1"/>
                <w:color w:val="0000EE"/>
                <w:w w:val="94"/>
              </w:rPr>
            </w:pPr>
            <w:hyperlink w:anchor="page101">
              <w:r>
                <w:rPr>
                  <w:rFonts w:ascii="Arial" w:cs="Arial" w:eastAsia="Arial" w:hAnsi="Arial"/>
                  <w:sz w:val="13"/>
                  <w:szCs w:val="13"/>
                  <w:b w:val="1"/>
                  <w:bCs w:val="1"/>
                  <w:color w:val="0000EE"/>
                  <w:w w:val="94"/>
                </w:rPr>
                <w:t>INDICATIVE PAYOUTS FOR VIKAS BHALLA</w:t>
              </w:r>
            </w:hyperlink>
          </w:p>
        </w:tc>
        <w:tc>
          <w:tcPr>
            <w:tcW w:w="620" w:type="dxa"/>
            <w:vAlign w:val="bottom"/>
            <w:gridSpan w:val="3"/>
          </w:tcPr>
          <w:p>
            <w:pPr>
              <w:spacing w:after="0"/>
              <w:rPr>
                <w:sz w:val="24"/>
                <w:szCs w:val="24"/>
                <w:color w:val="auto"/>
              </w:rPr>
            </w:pPr>
          </w:p>
        </w:tc>
        <w:tc>
          <w:tcPr>
            <w:tcW w:w="8080" w:type="dxa"/>
            <w:vAlign w:val="bottom"/>
            <w:gridSpan w:val="2"/>
          </w:tcPr>
          <w:p>
            <w:pPr>
              <w:jc w:val="right"/>
              <w:spacing w:after="0"/>
              <w:rPr>
                <w:rFonts w:ascii="Arial" w:cs="Arial" w:eastAsia="Arial" w:hAnsi="Arial"/>
                <w:sz w:val="13"/>
                <w:szCs w:val="13"/>
                <w:b w:val="1"/>
                <w:bCs w:val="1"/>
                <w:color w:val="0000EE"/>
              </w:rPr>
            </w:pPr>
            <w:hyperlink w:anchor="page101">
              <w:r>
                <w:rPr>
                  <w:rFonts w:ascii="Arial" w:cs="Arial" w:eastAsia="Arial" w:hAnsi="Arial"/>
                  <w:sz w:val="13"/>
                  <w:szCs w:val="13"/>
                  <w:b w:val="1"/>
                  <w:bCs w:val="1"/>
                  <w:color w:val="0000EE"/>
                </w:rPr>
                <w:t>100</w:t>
              </w:r>
            </w:hyperlink>
          </w:p>
        </w:tc>
      </w:tr>
      <w:tr>
        <w:trPr>
          <w:trHeight w:val="20"/>
        </w:trPr>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9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2780" w:type="dxa"/>
            <w:vAlign w:val="bottom"/>
            <w:gridSpan w:val="5"/>
          </w:tcPr>
          <w:p>
            <w:pPr>
              <w:spacing w:after="0"/>
              <w:rPr>
                <w:rFonts w:ascii="Arial" w:cs="Arial" w:eastAsia="Arial" w:hAnsi="Arial"/>
                <w:sz w:val="13"/>
                <w:szCs w:val="13"/>
                <w:b w:val="1"/>
                <w:bCs w:val="1"/>
                <w:color w:val="0000EE"/>
                <w:w w:val="95"/>
              </w:rPr>
            </w:pPr>
            <w:hyperlink w:anchor="page102">
              <w:r>
                <w:rPr>
                  <w:rFonts w:ascii="Arial" w:cs="Arial" w:eastAsia="Arial" w:hAnsi="Arial"/>
                  <w:sz w:val="13"/>
                  <w:szCs w:val="13"/>
                  <w:b w:val="1"/>
                  <w:bCs w:val="1"/>
                  <w:color w:val="0000EE"/>
                  <w:w w:val="95"/>
                </w:rPr>
                <w:t>INDICATIVE PAYOUTS FOR SAMUEL MECKEY</w:t>
              </w:r>
            </w:hyperlink>
          </w:p>
        </w:tc>
        <w:tc>
          <w:tcPr>
            <w:tcW w:w="440" w:type="dxa"/>
            <w:vAlign w:val="bottom"/>
            <w:gridSpan w:val="2"/>
          </w:tcPr>
          <w:p>
            <w:pPr>
              <w:spacing w:after="0"/>
              <w:rPr>
                <w:sz w:val="24"/>
                <w:szCs w:val="24"/>
                <w:color w:val="auto"/>
              </w:rPr>
            </w:pPr>
          </w:p>
        </w:tc>
        <w:tc>
          <w:tcPr>
            <w:tcW w:w="8080" w:type="dxa"/>
            <w:vAlign w:val="bottom"/>
            <w:gridSpan w:val="2"/>
          </w:tcPr>
          <w:p>
            <w:pPr>
              <w:jc w:val="right"/>
              <w:spacing w:after="0"/>
              <w:rPr>
                <w:rFonts w:ascii="Arial" w:cs="Arial" w:eastAsia="Arial" w:hAnsi="Arial"/>
                <w:sz w:val="13"/>
                <w:szCs w:val="13"/>
                <w:b w:val="1"/>
                <w:bCs w:val="1"/>
                <w:color w:val="0000EE"/>
              </w:rPr>
            </w:pPr>
            <w:hyperlink w:anchor="page102">
              <w:r>
                <w:rPr>
                  <w:rFonts w:ascii="Arial" w:cs="Arial" w:eastAsia="Arial" w:hAnsi="Arial"/>
                  <w:sz w:val="13"/>
                  <w:szCs w:val="13"/>
                  <w:b w:val="1"/>
                  <w:bCs w:val="1"/>
                  <w:color w:val="0000EE"/>
                </w:rPr>
                <w:t>101</w:t>
              </w:r>
            </w:hyperlink>
          </w:p>
        </w:tc>
      </w:tr>
      <w:tr>
        <w:trPr>
          <w:trHeight w:val="20"/>
        </w:trPr>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9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1620" w:type="dxa"/>
            <w:vAlign w:val="bottom"/>
            <w:gridSpan w:val="2"/>
          </w:tcPr>
          <w:p>
            <w:pPr>
              <w:spacing w:after="0"/>
              <w:rPr>
                <w:rFonts w:ascii="Arial" w:cs="Arial" w:eastAsia="Arial" w:hAnsi="Arial"/>
                <w:sz w:val="13"/>
                <w:szCs w:val="13"/>
                <w:b w:val="1"/>
                <w:bCs w:val="1"/>
                <w:color w:val="0000EE"/>
                <w:w w:val="95"/>
              </w:rPr>
            </w:pPr>
            <w:hyperlink w:anchor="page102">
              <w:r>
                <w:rPr>
                  <w:rFonts w:ascii="Arial" w:cs="Arial" w:eastAsia="Arial" w:hAnsi="Arial"/>
                  <w:sz w:val="13"/>
                  <w:szCs w:val="13"/>
                  <w:b w:val="1"/>
                  <w:bCs w:val="1"/>
                  <w:color w:val="0000EE"/>
                  <w:w w:val="95"/>
                </w:rPr>
                <w:t>CERTAIN DEFINED TERMS</w:t>
              </w:r>
            </w:hyperlink>
          </w:p>
        </w:tc>
        <w:tc>
          <w:tcPr>
            <w:tcW w:w="11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8080" w:type="dxa"/>
            <w:vAlign w:val="bottom"/>
            <w:gridSpan w:val="2"/>
          </w:tcPr>
          <w:p>
            <w:pPr>
              <w:jc w:val="right"/>
              <w:spacing w:after="0"/>
              <w:rPr>
                <w:rFonts w:ascii="Arial" w:cs="Arial" w:eastAsia="Arial" w:hAnsi="Arial"/>
                <w:sz w:val="13"/>
                <w:szCs w:val="13"/>
                <w:b w:val="1"/>
                <w:bCs w:val="1"/>
                <w:color w:val="0000EE"/>
              </w:rPr>
            </w:pPr>
            <w:hyperlink w:anchor="page102">
              <w:r>
                <w:rPr>
                  <w:rFonts w:ascii="Arial" w:cs="Arial" w:eastAsia="Arial" w:hAnsi="Arial"/>
                  <w:sz w:val="13"/>
                  <w:szCs w:val="13"/>
                  <w:b w:val="1"/>
                  <w:bCs w:val="1"/>
                  <w:color w:val="0000EE"/>
                </w:rPr>
                <w:t>101</w:t>
              </w:r>
            </w:hyperlink>
          </w:p>
        </w:tc>
      </w:tr>
      <w:tr>
        <w:trPr>
          <w:trHeight w:val="20"/>
        </w:trPr>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79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1620" w:type="dxa"/>
            <w:vAlign w:val="bottom"/>
            <w:gridSpan w:val="2"/>
          </w:tcPr>
          <w:p>
            <w:pPr>
              <w:spacing w:after="0"/>
              <w:rPr>
                <w:rFonts w:ascii="Arial" w:cs="Arial" w:eastAsia="Arial" w:hAnsi="Arial"/>
                <w:sz w:val="13"/>
                <w:szCs w:val="13"/>
                <w:b w:val="1"/>
                <w:bCs w:val="1"/>
                <w:color w:val="0000EE"/>
              </w:rPr>
            </w:pPr>
            <w:hyperlink w:anchor="page104">
              <w:r>
                <w:rPr>
                  <w:rFonts w:ascii="Arial" w:cs="Arial" w:eastAsia="Arial" w:hAnsi="Arial"/>
                  <w:sz w:val="13"/>
                  <w:szCs w:val="13"/>
                  <w:b w:val="1"/>
                  <w:bCs w:val="1"/>
                  <w:color w:val="0000EE"/>
                </w:rPr>
                <w:t>CEO PAY RATIO</w:t>
              </w:r>
            </w:hyperlink>
          </w:p>
        </w:tc>
        <w:tc>
          <w:tcPr>
            <w:tcW w:w="1600" w:type="dxa"/>
            <w:vAlign w:val="bottom"/>
            <w:gridSpan w:val="5"/>
          </w:tcPr>
          <w:p>
            <w:pPr>
              <w:spacing w:after="0"/>
              <w:rPr>
                <w:sz w:val="24"/>
                <w:szCs w:val="24"/>
                <w:color w:val="auto"/>
              </w:rPr>
            </w:pPr>
          </w:p>
        </w:tc>
        <w:tc>
          <w:tcPr>
            <w:tcW w:w="8080" w:type="dxa"/>
            <w:vAlign w:val="bottom"/>
            <w:gridSpan w:val="2"/>
          </w:tcPr>
          <w:p>
            <w:pPr>
              <w:jc w:val="right"/>
              <w:spacing w:after="0"/>
              <w:rPr>
                <w:rFonts w:ascii="Arial" w:cs="Arial" w:eastAsia="Arial" w:hAnsi="Arial"/>
                <w:sz w:val="13"/>
                <w:szCs w:val="13"/>
                <w:b w:val="1"/>
                <w:bCs w:val="1"/>
                <w:color w:val="0000EE"/>
              </w:rPr>
            </w:pPr>
            <w:hyperlink w:anchor="page104">
              <w:r>
                <w:rPr>
                  <w:rFonts w:ascii="Arial" w:cs="Arial" w:eastAsia="Arial" w:hAnsi="Arial"/>
                  <w:sz w:val="13"/>
                  <w:szCs w:val="13"/>
                  <w:b w:val="1"/>
                  <w:bCs w:val="1"/>
                  <w:color w:val="0000EE"/>
                </w:rPr>
                <w:t>103</w:t>
              </w:r>
            </w:hyperlink>
          </w:p>
        </w:tc>
      </w:tr>
      <w:tr>
        <w:trPr>
          <w:trHeight w:val="20"/>
        </w:trPr>
        <w:tc>
          <w:tcPr>
            <w:tcW w:w="960" w:type="dxa"/>
            <w:vAlign w:val="bottom"/>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79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82"/>
        </w:trPr>
        <w:tc>
          <w:tcPr>
            <w:tcW w:w="3220" w:type="dxa"/>
            <w:vAlign w:val="bottom"/>
            <w:gridSpan w:val="7"/>
          </w:tcPr>
          <w:p>
            <w:pPr>
              <w:spacing w:after="0"/>
              <w:rPr>
                <w:rFonts w:ascii="Arial" w:cs="Arial" w:eastAsia="Arial" w:hAnsi="Arial"/>
                <w:sz w:val="13"/>
                <w:szCs w:val="13"/>
                <w:b w:val="1"/>
                <w:bCs w:val="1"/>
                <w:color w:val="0000EE"/>
                <w:w w:val="96"/>
              </w:rPr>
            </w:pPr>
            <w:hyperlink w:anchor="page105">
              <w:r>
                <w:rPr>
                  <w:rFonts w:ascii="Arial" w:cs="Arial" w:eastAsia="Arial" w:hAnsi="Arial"/>
                  <w:sz w:val="13"/>
                  <w:szCs w:val="13"/>
                  <w:b w:val="1"/>
                  <w:bCs w:val="1"/>
                  <w:color w:val="0000EE"/>
                  <w:w w:val="96"/>
                </w:rPr>
                <w:t>DIRECTOR COMPENSATION FOR FISCAL YEAR 2020</w:t>
              </w:r>
            </w:hyperlink>
          </w:p>
        </w:tc>
        <w:tc>
          <w:tcPr>
            <w:tcW w:w="8080" w:type="dxa"/>
            <w:vAlign w:val="bottom"/>
            <w:gridSpan w:val="2"/>
          </w:tcPr>
          <w:p>
            <w:pPr>
              <w:jc w:val="right"/>
              <w:spacing w:after="0"/>
              <w:rPr>
                <w:rFonts w:ascii="Arial" w:cs="Arial" w:eastAsia="Arial" w:hAnsi="Arial"/>
                <w:sz w:val="13"/>
                <w:szCs w:val="13"/>
                <w:b w:val="1"/>
                <w:bCs w:val="1"/>
                <w:color w:val="0000EE"/>
              </w:rPr>
            </w:pPr>
            <w:hyperlink w:anchor="page105">
              <w:r>
                <w:rPr>
                  <w:rFonts w:ascii="Arial" w:cs="Arial" w:eastAsia="Arial" w:hAnsi="Arial"/>
                  <w:sz w:val="13"/>
                  <w:szCs w:val="13"/>
                  <w:b w:val="1"/>
                  <w:bCs w:val="1"/>
                  <w:color w:val="0000EE"/>
                </w:rPr>
                <w:t>104</w:t>
              </w:r>
            </w:hyperlink>
          </w:p>
        </w:tc>
      </w:tr>
      <w:tr>
        <w:trPr>
          <w:trHeight w:val="20"/>
        </w:trPr>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9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203835</wp:posOffset>
            </wp:positionV>
            <wp:extent cx="1408430" cy="3333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3" w:name="page64"/>
    <w:bookmarkEnd w:id="6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Named Executive Officers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As determined in accordance with SEC rules, our named executive officers ("NEOs") for 2020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95250</wp:posOffset>
            </wp:positionV>
            <wp:extent cx="333375" cy="3333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3375" cy="333375"/>
                    </a:xfrm>
                    <a:prstGeom prst="rect">
                      <a:avLst/>
                    </a:prstGeom>
                    <a:noFill/>
                  </pic:spPr>
                </pic:pic>
              </a:graphicData>
            </a:graphic>
          </wp:anchor>
        </w:drawing>
      </w:r>
    </w:p>
    <w:p>
      <w:pPr>
        <w:spacing w:after="0" w:line="301"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FF4000"/>
        </w:rPr>
        <w:t xml:space="preserve">Rohit Kapoor, </w:t>
      </w:r>
      <w:r>
        <w:rPr>
          <w:rFonts w:ascii="Arial" w:cs="Arial" w:eastAsia="Arial" w:hAnsi="Arial"/>
          <w:sz w:val="13"/>
          <w:szCs w:val="13"/>
          <w:color w:val="000000"/>
        </w:rPr>
        <w:t>our 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241300</wp:posOffset>
            </wp:positionV>
            <wp:extent cx="333375" cy="3333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3375" cy="33337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FF4000"/>
        </w:rPr>
        <w:t xml:space="preserve">Maurizio Nicolelli, </w:t>
      </w:r>
      <w:r>
        <w:rPr>
          <w:rFonts w:ascii="Arial" w:cs="Arial" w:eastAsia="Arial" w:hAnsi="Arial"/>
          <w:sz w:val="13"/>
          <w:szCs w:val="13"/>
          <w:color w:val="000000"/>
        </w:rPr>
        <w:t>our Executive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241300</wp:posOffset>
            </wp:positionV>
            <wp:extent cx="333375" cy="3333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3375" cy="33337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FF4000"/>
        </w:rPr>
        <w:t xml:space="preserve">Pavan Bagai, </w:t>
      </w:r>
      <w:r>
        <w:rPr>
          <w:rFonts w:ascii="Arial" w:cs="Arial" w:eastAsia="Arial" w:hAnsi="Arial"/>
          <w:sz w:val="13"/>
          <w:szCs w:val="13"/>
          <w:color w:val="000000"/>
        </w:rPr>
        <w:t>our President, Chief Operating Officer and Former Interim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241300</wp:posOffset>
            </wp:positionV>
            <wp:extent cx="333375" cy="3333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3375" cy="33337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FF4000"/>
        </w:rPr>
        <w:t xml:space="preserve">Nalin Miglani, </w:t>
      </w:r>
      <w:r>
        <w:rPr>
          <w:rFonts w:ascii="Arial" w:cs="Arial" w:eastAsia="Arial" w:hAnsi="Arial"/>
          <w:sz w:val="13"/>
          <w:szCs w:val="13"/>
          <w:color w:val="000000"/>
        </w:rPr>
        <w:t>our Executive Vice President and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241300</wp:posOffset>
            </wp:positionV>
            <wp:extent cx="333375" cy="3333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3375" cy="33337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FF4000"/>
        </w:rPr>
        <w:t xml:space="preserve">Vikas Bhalla, </w:t>
      </w:r>
      <w:r>
        <w:rPr>
          <w:rFonts w:ascii="Arial" w:cs="Arial" w:eastAsia="Arial" w:hAnsi="Arial"/>
          <w:sz w:val="13"/>
          <w:szCs w:val="13"/>
          <w:color w:val="000000"/>
        </w:rPr>
        <w:t>our Executive Vice President and Business Head,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241300</wp:posOffset>
            </wp:positionV>
            <wp:extent cx="333375" cy="3333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3375" cy="33337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FF4000"/>
        </w:rPr>
        <w:t xml:space="preserve">Samuel Meckey, </w:t>
      </w:r>
      <w:r>
        <w:rPr>
          <w:rFonts w:ascii="Arial" w:cs="Arial" w:eastAsia="Arial" w:hAnsi="Arial"/>
          <w:sz w:val="13"/>
          <w:szCs w:val="13"/>
          <w:color w:val="000000"/>
        </w:rPr>
        <w:t>our Executive Vice President and Business Head, Healthcare</w:t>
      </w: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Executive Summary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Select 2020 Financial and Business Highlights</w:t>
      </w:r>
    </w:p>
    <w:p>
      <w:pPr>
        <w:spacing w:after="0" w:line="168" w:lineRule="exact"/>
        <w:rPr>
          <w:sz w:val="20"/>
          <w:szCs w:val="20"/>
          <w:color w:val="auto"/>
        </w:rPr>
      </w:pPr>
    </w:p>
    <w:p>
      <w:pPr>
        <w:ind w:left="780" w:hanging="393"/>
        <w:spacing w:after="0"/>
        <w:tabs>
          <w:tab w:leader="none" w:pos="780" w:val="left"/>
        </w:tabs>
        <w:numPr>
          <w:ilvl w:val="0"/>
          <w:numId w:val="56"/>
        </w:numPr>
        <w:rPr>
          <w:rFonts w:ascii="Arial" w:cs="Arial" w:eastAsia="Arial" w:hAnsi="Arial"/>
          <w:sz w:val="12"/>
          <w:szCs w:val="12"/>
          <w:color w:val="FF4000"/>
        </w:rPr>
      </w:pPr>
      <w:r>
        <w:rPr>
          <w:rFonts w:ascii="Arial" w:cs="Arial" w:eastAsia="Arial" w:hAnsi="Arial"/>
          <w:sz w:val="12"/>
          <w:szCs w:val="12"/>
          <w:color w:val="auto"/>
        </w:rPr>
        <w:t>Achieved annual revenues of $958.4 million in fiscal year 2020 on a reported currency basis, a decrease of 3.3% from fiscal year 2019, despite the challenging circumstances of COVID-19</w:t>
      </w:r>
    </w:p>
    <w:p>
      <w:pPr>
        <w:spacing w:after="0" w:line="163" w:lineRule="exact"/>
        <w:rPr>
          <w:rFonts w:ascii="Arial" w:cs="Arial" w:eastAsia="Arial" w:hAnsi="Arial"/>
          <w:sz w:val="12"/>
          <w:szCs w:val="12"/>
          <w:color w:val="FF4000"/>
        </w:rPr>
      </w:pPr>
    </w:p>
    <w:p>
      <w:pPr>
        <w:ind w:left="780" w:hanging="393"/>
        <w:spacing w:after="0"/>
        <w:tabs>
          <w:tab w:leader="none" w:pos="780" w:val="left"/>
        </w:tabs>
        <w:numPr>
          <w:ilvl w:val="0"/>
          <w:numId w:val="56"/>
        </w:numPr>
        <w:rPr>
          <w:rFonts w:ascii="Arial" w:cs="Arial" w:eastAsia="Arial" w:hAnsi="Arial"/>
          <w:sz w:val="13"/>
          <w:szCs w:val="13"/>
          <w:color w:val="FF4000"/>
        </w:rPr>
      </w:pPr>
      <w:r>
        <w:rPr>
          <w:rFonts w:ascii="Arial" w:cs="Arial" w:eastAsia="Arial" w:hAnsi="Arial"/>
          <w:sz w:val="13"/>
          <w:szCs w:val="13"/>
          <w:color w:val="auto"/>
        </w:rPr>
        <w:t>Improved net income attributable to stockholders by 32% to $89.5 million</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6"/>
        </w:numPr>
        <w:rPr>
          <w:rFonts w:ascii="Arial" w:cs="Arial" w:eastAsia="Arial" w:hAnsi="Arial"/>
          <w:sz w:val="13"/>
          <w:szCs w:val="13"/>
          <w:color w:val="FF4000"/>
        </w:rPr>
      </w:pPr>
      <w:r>
        <w:rPr>
          <w:rFonts w:ascii="Arial" w:cs="Arial" w:eastAsia="Arial" w:hAnsi="Arial"/>
          <w:sz w:val="13"/>
          <w:szCs w:val="13"/>
          <w:color w:val="auto"/>
        </w:rPr>
        <w:t>Generated a record $203 million cash flow from operations</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6"/>
        </w:numPr>
        <w:rPr>
          <w:rFonts w:ascii="Arial" w:cs="Arial" w:eastAsia="Arial" w:hAnsi="Arial"/>
          <w:sz w:val="13"/>
          <w:szCs w:val="13"/>
          <w:color w:val="FF4000"/>
        </w:rPr>
      </w:pPr>
      <w:r>
        <w:rPr>
          <w:rFonts w:ascii="Arial" w:cs="Arial" w:eastAsia="Arial" w:hAnsi="Arial"/>
          <w:sz w:val="13"/>
          <w:szCs w:val="13"/>
          <w:color w:val="auto"/>
        </w:rPr>
        <w:t>Won 45 new clients and received numerous awards and industry recognitions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193675</wp:posOffset>
            </wp:positionV>
            <wp:extent cx="1408430" cy="3333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Stockholder Return</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following graphs compare our 1-year, 3-year and 5-year cumulative total stockholder return ("TSR") as of December 31, 2020 with the median TSR of companies comprising Nasdaq, S&amp;P 600 and our peer group. As shown in the table, our 1-Year, 3-Year and 5-Year TSR outperformed all of our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93345</wp:posOffset>
            </wp:positionV>
            <wp:extent cx="5002530" cy="12045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02530" cy="120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Awards and Industry Recognition</w:t>
      </w:r>
    </w:p>
    <w:p>
      <w:pPr>
        <w:spacing w:after="0" w:line="168" w:lineRule="exact"/>
        <w:rPr>
          <w:sz w:val="20"/>
          <w:szCs w:val="20"/>
          <w:color w:val="auto"/>
        </w:rPr>
      </w:pPr>
    </w:p>
    <w:p>
      <w:pPr>
        <w:ind w:left="780" w:hanging="393"/>
        <w:spacing w:after="0"/>
        <w:tabs>
          <w:tab w:leader="none" w:pos="780" w:val="left"/>
        </w:tabs>
        <w:numPr>
          <w:ilvl w:val="0"/>
          <w:numId w:val="57"/>
        </w:numPr>
        <w:rPr>
          <w:rFonts w:ascii="Arial" w:cs="Arial" w:eastAsia="Arial" w:hAnsi="Arial"/>
          <w:sz w:val="13"/>
          <w:szCs w:val="13"/>
          <w:color w:val="FF4000"/>
        </w:rPr>
      </w:pPr>
      <w:r>
        <w:rPr>
          <w:rFonts w:ascii="Arial" w:cs="Arial" w:eastAsia="Arial" w:hAnsi="Arial"/>
          <w:sz w:val="13"/>
          <w:szCs w:val="13"/>
          <w:color w:val="auto"/>
        </w:rPr>
        <w:t>Our people are our primary assets, and they continue to be recognized across the industry.</w:t>
      </w:r>
    </w:p>
    <w:p>
      <w:pPr>
        <w:spacing w:after="0" w:line="152" w:lineRule="exact"/>
        <w:rPr>
          <w:rFonts w:ascii="Arial" w:cs="Arial" w:eastAsia="Arial" w:hAnsi="Arial"/>
          <w:sz w:val="13"/>
          <w:szCs w:val="13"/>
          <w:color w:val="FF4000"/>
        </w:rPr>
      </w:pPr>
    </w:p>
    <w:p>
      <w:pPr>
        <w:ind w:left="780" w:right="60" w:hanging="393"/>
        <w:spacing w:after="0" w:line="278" w:lineRule="auto"/>
        <w:tabs>
          <w:tab w:leader="none" w:pos="780" w:val="left"/>
        </w:tabs>
        <w:numPr>
          <w:ilvl w:val="0"/>
          <w:numId w:val="57"/>
        </w:numPr>
        <w:rPr>
          <w:rFonts w:ascii="Arial" w:cs="Arial" w:eastAsia="Arial" w:hAnsi="Arial"/>
          <w:sz w:val="12"/>
          <w:szCs w:val="12"/>
          <w:color w:val="FF4000"/>
        </w:rPr>
      </w:pPr>
      <w:r>
        <w:rPr>
          <w:rFonts w:ascii="Arial" w:cs="Arial" w:eastAsia="Arial" w:hAnsi="Arial"/>
          <w:sz w:val="12"/>
          <w:szCs w:val="12"/>
          <w:color w:val="auto"/>
        </w:rPr>
        <w:t>As in prior years, we continued to receive numerous industry recognitions and awards, including being recognized as a Leader and Star Performer in Everest Group Property &amp; Casualty (P&amp;C) Insurance BPO Services PEAK Matrix® Assessment 2020 and recognized as a Leader in The Forrester Wave™: Insights-Driven Business Process Outsourcing, Q4 2020.</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Clients and Operations</w:t>
      </w:r>
    </w:p>
    <w:p>
      <w:pPr>
        <w:spacing w:after="0" w:line="168" w:lineRule="exact"/>
        <w:rPr>
          <w:sz w:val="20"/>
          <w:szCs w:val="20"/>
          <w:color w:val="auto"/>
        </w:rPr>
      </w:pPr>
    </w:p>
    <w:p>
      <w:pPr>
        <w:ind w:left="780" w:hanging="393"/>
        <w:spacing w:after="0"/>
        <w:tabs>
          <w:tab w:leader="none" w:pos="780" w:val="left"/>
        </w:tabs>
        <w:numPr>
          <w:ilvl w:val="0"/>
          <w:numId w:val="58"/>
        </w:numPr>
        <w:rPr>
          <w:rFonts w:ascii="Arial" w:cs="Arial" w:eastAsia="Arial" w:hAnsi="Arial"/>
          <w:sz w:val="13"/>
          <w:szCs w:val="13"/>
          <w:color w:val="FF4000"/>
        </w:rPr>
      </w:pPr>
      <w:r>
        <w:rPr>
          <w:rFonts w:ascii="Arial" w:cs="Arial" w:eastAsia="Arial" w:hAnsi="Arial"/>
          <w:sz w:val="13"/>
          <w:szCs w:val="13"/>
          <w:color w:val="auto"/>
        </w:rPr>
        <w:t>In 2020 we won 45 new clients adding to the 28 new clients we won in 2019.</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58"/>
        </w:numPr>
        <w:rPr>
          <w:rFonts w:ascii="Arial" w:cs="Arial" w:eastAsia="Arial" w:hAnsi="Arial"/>
          <w:sz w:val="13"/>
          <w:szCs w:val="13"/>
          <w:color w:val="FF4000"/>
        </w:rPr>
      </w:pPr>
      <w:r>
        <w:rPr>
          <w:rFonts w:ascii="Arial" w:cs="Arial" w:eastAsia="Arial" w:hAnsi="Arial"/>
          <w:sz w:val="13"/>
          <w:szCs w:val="13"/>
          <w:color w:val="auto"/>
        </w:rPr>
        <w:t>In the past year, revenue from our top 20 clients grew by 5.3%, with 15 of those clients contracting for our solutions in both analytics and operations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1408430" cy="3333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160"/>
          </w:cols>
          <w:pgMar w:left="300" w:top="142" w:right="43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00" w:type="dxa"/>
            <w:vAlign w:val="bottom"/>
          </w:tcPr>
          <w:p>
            <w:pPr>
              <w:spacing w:after="0"/>
              <w:rPr>
                <w:sz w:val="11"/>
                <w:szCs w:val="11"/>
                <w:color w:val="auto"/>
              </w:rPr>
            </w:pPr>
          </w:p>
        </w:tc>
        <w:tc>
          <w:tcPr>
            <w:tcW w:w="9600" w:type="dxa"/>
            <w:vAlign w:val="bottom"/>
          </w:tcPr>
          <w:p>
            <w:pPr>
              <w:ind w:left="8140"/>
              <w:spacing w:after="0"/>
              <w:rPr>
                <w:sz w:val="20"/>
                <w:szCs w:val="20"/>
                <w:color w:val="auto"/>
              </w:rPr>
            </w:pPr>
            <w:r>
              <w:rPr>
                <w:rFonts w:ascii="Arial" w:cs="Arial" w:eastAsia="Arial" w:hAnsi="Arial"/>
                <w:sz w:val="10"/>
                <w:szCs w:val="10"/>
                <w:b w:val="1"/>
                <w:bCs w:val="1"/>
                <w:color w:val="CCD9D9"/>
              </w:rPr>
              <w:t>EXECUTIVE COMPENSATION</w:t>
            </w:r>
          </w:p>
        </w:tc>
      </w:tr>
      <w:tr>
        <w:trPr>
          <w:trHeight w:val="300"/>
        </w:trPr>
        <w:tc>
          <w:tcPr>
            <w:tcW w:w="11300" w:type="dxa"/>
            <w:vAlign w:val="bottom"/>
            <w:gridSpan w:val="2"/>
          </w:tcPr>
          <w:p>
            <w:pPr>
              <w:spacing w:after="0"/>
              <w:rPr>
                <w:sz w:val="20"/>
                <w:szCs w:val="20"/>
                <w:color w:val="auto"/>
              </w:rPr>
            </w:pPr>
            <w:r>
              <w:rPr>
                <w:rFonts w:ascii="Arial" w:cs="Arial" w:eastAsia="Arial" w:hAnsi="Arial"/>
                <w:sz w:val="13"/>
                <w:szCs w:val="13"/>
                <w:b w:val="1"/>
                <w:bCs w:val="1"/>
                <w:color w:val="auto"/>
              </w:rPr>
              <w:t>Summary of Key Compensation Considerations &amp; Decisions in 2020</w:t>
            </w:r>
          </w:p>
        </w:tc>
      </w:tr>
      <w:tr>
        <w:trPr>
          <w:trHeight w:val="302"/>
        </w:trPr>
        <w:tc>
          <w:tcPr>
            <w:tcW w:w="11300" w:type="dxa"/>
            <w:vAlign w:val="bottom"/>
            <w:gridSpan w:val="2"/>
          </w:tcPr>
          <w:p>
            <w:pPr>
              <w:spacing w:after="0"/>
              <w:rPr>
                <w:sz w:val="20"/>
                <w:szCs w:val="20"/>
                <w:color w:val="auto"/>
              </w:rPr>
            </w:pPr>
            <w:r>
              <w:rPr>
                <w:rFonts w:ascii="Arial" w:cs="Arial" w:eastAsia="Arial" w:hAnsi="Arial"/>
                <w:sz w:val="13"/>
                <w:szCs w:val="13"/>
                <w:color w:val="auto"/>
              </w:rPr>
              <w:t>The following highlights the Compensation Committee's key considerations and compensation decisions in 2020 and with respect to performance for 2020 for our NEOs.</w:t>
            </w:r>
          </w:p>
        </w:tc>
      </w:tr>
      <w:tr>
        <w:trPr>
          <w:trHeight w:val="273"/>
        </w:trPr>
        <w:tc>
          <w:tcPr>
            <w:tcW w:w="1700" w:type="dxa"/>
            <w:vAlign w:val="bottom"/>
            <w:tcBorders>
              <w:bottom w:val="single" w:sz="8" w:color="479EFF"/>
            </w:tcBorders>
          </w:tcPr>
          <w:p>
            <w:pPr>
              <w:spacing w:after="0"/>
              <w:rPr>
                <w:sz w:val="20"/>
                <w:szCs w:val="20"/>
                <w:color w:val="auto"/>
              </w:rPr>
            </w:pPr>
            <w:r>
              <w:rPr>
                <w:rFonts w:ascii="Arial" w:cs="Arial" w:eastAsia="Arial" w:hAnsi="Arial"/>
                <w:sz w:val="10"/>
                <w:szCs w:val="10"/>
                <w:b w:val="1"/>
                <w:bCs w:val="1"/>
                <w:color w:val="479EFF"/>
              </w:rPr>
              <w:t>Items</w:t>
            </w:r>
          </w:p>
        </w:tc>
        <w:tc>
          <w:tcPr>
            <w:tcW w:w="9600" w:type="dxa"/>
            <w:vAlign w:val="bottom"/>
            <w:tcBorders>
              <w:bottom w:val="single" w:sz="8" w:color="479EFF"/>
            </w:tcBorders>
          </w:tcPr>
          <w:p>
            <w:pPr>
              <w:ind w:left="100"/>
              <w:spacing w:after="0"/>
              <w:rPr>
                <w:sz w:val="20"/>
                <w:szCs w:val="20"/>
                <w:color w:val="auto"/>
              </w:rPr>
            </w:pPr>
            <w:r>
              <w:rPr>
                <w:rFonts w:ascii="Arial" w:cs="Arial" w:eastAsia="Arial" w:hAnsi="Arial"/>
                <w:sz w:val="10"/>
                <w:szCs w:val="10"/>
                <w:b w:val="1"/>
                <w:bCs w:val="1"/>
                <w:color w:val="479EFF"/>
              </w:rPr>
              <w:t>Considerations and Decisions</w:t>
            </w:r>
          </w:p>
        </w:tc>
      </w:tr>
      <w:tr>
        <w:trPr>
          <w:trHeight w:val="148"/>
        </w:trPr>
        <w:tc>
          <w:tcPr>
            <w:tcW w:w="1700" w:type="dxa"/>
            <w:vAlign w:val="bottom"/>
            <w:tcBorders>
              <w:right w:val="single" w:sz="8" w:color="auto"/>
            </w:tcBorders>
          </w:tcPr>
          <w:p>
            <w:pPr>
              <w:spacing w:after="0" w:line="148" w:lineRule="exact"/>
              <w:rPr>
                <w:sz w:val="20"/>
                <w:szCs w:val="20"/>
                <w:color w:val="auto"/>
              </w:rPr>
            </w:pPr>
            <w:r>
              <w:rPr>
                <w:rFonts w:ascii="Arial" w:cs="Arial" w:eastAsia="Arial" w:hAnsi="Arial"/>
                <w:sz w:val="13"/>
                <w:szCs w:val="13"/>
                <w:b w:val="1"/>
                <w:bCs w:val="1"/>
                <w:color w:val="auto"/>
              </w:rPr>
              <w:t>Say on Pay Approval</w:t>
            </w:r>
          </w:p>
        </w:tc>
        <w:tc>
          <w:tcPr>
            <w:tcW w:w="9600" w:type="dxa"/>
            <w:vAlign w:val="bottom"/>
          </w:tcPr>
          <w:p>
            <w:pPr>
              <w:ind w:left="100"/>
              <w:spacing w:after="0" w:line="148" w:lineRule="exact"/>
              <w:rPr>
                <w:sz w:val="20"/>
                <w:szCs w:val="20"/>
                <w:color w:val="auto"/>
              </w:rPr>
            </w:pPr>
            <w:r>
              <w:rPr>
                <w:rFonts w:ascii="Arial" w:cs="Arial" w:eastAsia="Arial" w:hAnsi="Arial"/>
                <w:sz w:val="13"/>
                <w:szCs w:val="13"/>
                <w:color w:val="auto"/>
              </w:rPr>
              <w:t>Approximately 98% of our stockholders approved, on a non-binding basis (excluding broker non-votes), of our compensation of our NEOs, consistent with average</w:t>
            </w:r>
          </w:p>
        </w:tc>
      </w:tr>
      <w:tr>
        <w:trPr>
          <w:trHeight w:val="144"/>
        </w:trPr>
        <w:tc>
          <w:tcPr>
            <w:tcW w:w="1700" w:type="dxa"/>
            <w:vAlign w:val="bottom"/>
            <w:tcBorders>
              <w:bottom w:val="single" w:sz="8" w:color="auto"/>
              <w:right w:val="single" w:sz="8" w:color="auto"/>
            </w:tcBorders>
          </w:tcPr>
          <w:p>
            <w:pPr>
              <w:spacing w:after="0"/>
              <w:rPr>
                <w:sz w:val="12"/>
                <w:szCs w:val="12"/>
                <w:color w:val="auto"/>
              </w:rPr>
            </w:pPr>
          </w:p>
        </w:tc>
        <w:tc>
          <w:tcPr>
            <w:tcW w:w="9600" w:type="dxa"/>
            <w:vAlign w:val="bottom"/>
            <w:tcBorders>
              <w:bottom w:val="single" w:sz="8" w:color="auto"/>
            </w:tcBorders>
          </w:tcPr>
          <w:p>
            <w:pPr>
              <w:ind w:left="100"/>
              <w:spacing w:after="0" w:line="144" w:lineRule="exact"/>
              <w:rPr>
                <w:sz w:val="20"/>
                <w:szCs w:val="20"/>
                <w:color w:val="auto"/>
              </w:rPr>
            </w:pPr>
            <w:r>
              <w:rPr>
                <w:rFonts w:ascii="Arial" w:cs="Arial" w:eastAsia="Arial" w:hAnsi="Arial"/>
                <w:sz w:val="13"/>
                <w:szCs w:val="13"/>
                <w:color w:val="auto"/>
              </w:rPr>
              <w:t>approval of 97.6% over the past five years.</w:t>
            </w:r>
          </w:p>
        </w:tc>
      </w:tr>
      <w:tr>
        <w:trPr>
          <w:trHeight w:val="313"/>
        </w:trPr>
        <w:tc>
          <w:tcPr>
            <w:tcW w:w="170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Base Salaries</w:t>
            </w:r>
          </w:p>
        </w:tc>
        <w:tc>
          <w:tcPr>
            <w:tcW w:w="9600" w:type="dxa"/>
            <w:vAlign w:val="bottom"/>
          </w:tcPr>
          <w:p>
            <w:pPr>
              <w:ind w:left="100"/>
              <w:spacing w:after="0"/>
              <w:rPr>
                <w:sz w:val="20"/>
                <w:szCs w:val="20"/>
                <w:color w:val="auto"/>
              </w:rPr>
            </w:pPr>
            <w:r>
              <w:rPr>
                <w:rFonts w:ascii="Arial" w:cs="Arial" w:eastAsia="Arial" w:hAnsi="Arial"/>
                <w:sz w:val="13"/>
                <w:szCs w:val="13"/>
                <w:color w:val="auto"/>
              </w:rPr>
              <w:t>Although the Compensation Committee approved modest increases to our named executive officers' base salaries to be effective April 1, 2020, the named executive</w:t>
            </w:r>
          </w:p>
        </w:tc>
      </w:tr>
      <w:tr>
        <w:trPr>
          <w:trHeight w:val="146"/>
        </w:trPr>
        <w:tc>
          <w:tcPr>
            <w:tcW w:w="1700" w:type="dxa"/>
            <w:vAlign w:val="bottom"/>
            <w:tcBorders>
              <w:right w:val="single" w:sz="8" w:color="auto"/>
            </w:tcBorders>
          </w:tcPr>
          <w:p>
            <w:pPr>
              <w:spacing w:after="0"/>
              <w:rPr>
                <w:sz w:val="12"/>
                <w:szCs w:val="12"/>
                <w:color w:val="auto"/>
              </w:rPr>
            </w:pPr>
          </w:p>
        </w:tc>
        <w:tc>
          <w:tcPr>
            <w:tcW w:w="9600" w:type="dxa"/>
            <w:vAlign w:val="bottom"/>
          </w:tcPr>
          <w:p>
            <w:pPr>
              <w:ind w:left="100"/>
              <w:spacing w:after="0" w:line="146" w:lineRule="exact"/>
              <w:rPr>
                <w:sz w:val="20"/>
                <w:szCs w:val="20"/>
                <w:color w:val="auto"/>
              </w:rPr>
            </w:pPr>
            <w:r>
              <w:rPr>
                <w:rFonts w:ascii="Arial" w:cs="Arial" w:eastAsia="Arial" w:hAnsi="Arial"/>
                <w:sz w:val="13"/>
                <w:szCs w:val="13"/>
                <w:color w:val="auto"/>
                <w:w w:val="99"/>
              </w:rPr>
              <w:t>officers agreed to defer these increases due to the uncertainly caused by the COVID-19 pandemic. The increases, therefore, did not come into effect during the 2020</w:t>
            </w:r>
          </w:p>
        </w:tc>
      </w:tr>
      <w:tr>
        <w:trPr>
          <w:trHeight w:val="152"/>
        </w:trPr>
        <w:tc>
          <w:tcPr>
            <w:tcW w:w="1700" w:type="dxa"/>
            <w:vAlign w:val="bottom"/>
            <w:tcBorders>
              <w:right w:val="single" w:sz="8" w:color="auto"/>
            </w:tcBorders>
          </w:tcPr>
          <w:p>
            <w:pPr>
              <w:spacing w:after="0"/>
              <w:rPr>
                <w:sz w:val="13"/>
                <w:szCs w:val="13"/>
                <w:color w:val="auto"/>
              </w:rPr>
            </w:pPr>
          </w:p>
        </w:tc>
        <w:tc>
          <w:tcPr>
            <w:tcW w:w="9600" w:type="dxa"/>
            <w:vAlign w:val="bottom"/>
          </w:tcPr>
          <w:p>
            <w:pPr>
              <w:ind w:left="100"/>
              <w:spacing w:after="0"/>
              <w:rPr>
                <w:sz w:val="20"/>
                <w:szCs w:val="20"/>
                <w:color w:val="auto"/>
              </w:rPr>
            </w:pPr>
            <w:r>
              <w:rPr>
                <w:rFonts w:ascii="Arial" w:cs="Arial" w:eastAsia="Arial" w:hAnsi="Arial"/>
                <w:sz w:val="13"/>
                <w:szCs w:val="13"/>
                <w:color w:val="auto"/>
              </w:rPr>
              <w:t>fiscal year.</w:t>
            </w:r>
          </w:p>
        </w:tc>
      </w:tr>
      <w:tr>
        <w:trPr>
          <w:trHeight w:val="314"/>
        </w:trPr>
        <w:tc>
          <w:tcPr>
            <w:tcW w:w="1700" w:type="dxa"/>
            <w:vAlign w:val="bottom"/>
            <w:tcBorders>
              <w:right w:val="single" w:sz="8" w:color="auto"/>
            </w:tcBorders>
          </w:tcPr>
          <w:p>
            <w:pPr>
              <w:spacing w:after="0"/>
              <w:rPr>
                <w:sz w:val="24"/>
                <w:szCs w:val="24"/>
                <w:color w:val="auto"/>
              </w:rPr>
            </w:pPr>
          </w:p>
        </w:tc>
        <w:tc>
          <w:tcPr>
            <w:tcW w:w="9600" w:type="dxa"/>
            <w:vAlign w:val="bottom"/>
          </w:tcPr>
          <w:p>
            <w:pPr>
              <w:ind w:left="100"/>
              <w:spacing w:after="0"/>
              <w:rPr>
                <w:sz w:val="20"/>
                <w:szCs w:val="20"/>
                <w:color w:val="auto"/>
              </w:rPr>
            </w:pPr>
            <w:r>
              <w:rPr>
                <w:rFonts w:ascii="Arial" w:cs="Arial" w:eastAsia="Arial" w:hAnsi="Arial"/>
                <w:sz w:val="13"/>
                <w:szCs w:val="13"/>
                <w:color w:val="auto"/>
              </w:rPr>
              <w:t>In addition, from May 1, 2020 to August 31, 2020, also due to the uncertainty caused by the COVID-19 pandemic and in order to retain flexibility, the Company's</w:t>
            </w:r>
          </w:p>
        </w:tc>
      </w:tr>
      <w:tr>
        <w:trPr>
          <w:trHeight w:val="146"/>
        </w:trPr>
        <w:tc>
          <w:tcPr>
            <w:tcW w:w="1700" w:type="dxa"/>
            <w:vAlign w:val="bottom"/>
            <w:tcBorders>
              <w:right w:val="single" w:sz="8" w:color="auto"/>
            </w:tcBorders>
          </w:tcPr>
          <w:p>
            <w:pPr>
              <w:spacing w:after="0"/>
              <w:rPr>
                <w:sz w:val="12"/>
                <w:szCs w:val="12"/>
                <w:color w:val="auto"/>
              </w:rPr>
            </w:pPr>
          </w:p>
        </w:tc>
        <w:tc>
          <w:tcPr>
            <w:tcW w:w="9600" w:type="dxa"/>
            <w:vAlign w:val="bottom"/>
          </w:tcPr>
          <w:p>
            <w:pPr>
              <w:ind w:left="100"/>
              <w:spacing w:after="0" w:line="146" w:lineRule="exact"/>
              <w:rPr>
                <w:sz w:val="20"/>
                <w:szCs w:val="20"/>
                <w:color w:val="auto"/>
              </w:rPr>
            </w:pPr>
            <w:r>
              <w:rPr>
                <w:rFonts w:ascii="Arial" w:cs="Arial" w:eastAsia="Arial" w:hAnsi="Arial"/>
                <w:sz w:val="13"/>
                <w:szCs w:val="13"/>
                <w:color w:val="auto"/>
                <w:w w:val="98"/>
              </w:rPr>
              <w:t>executive management team recommended to the Compensation Committee and the Compensation Committee accepted, salary reductions for the Company's named</w:t>
            </w:r>
          </w:p>
        </w:tc>
      </w:tr>
      <w:tr>
        <w:trPr>
          <w:trHeight w:val="146"/>
        </w:trPr>
        <w:tc>
          <w:tcPr>
            <w:tcW w:w="1700" w:type="dxa"/>
            <w:vAlign w:val="bottom"/>
            <w:tcBorders>
              <w:right w:val="single" w:sz="8" w:color="auto"/>
            </w:tcBorders>
          </w:tcPr>
          <w:p>
            <w:pPr>
              <w:spacing w:after="0"/>
              <w:rPr>
                <w:sz w:val="12"/>
                <w:szCs w:val="12"/>
                <w:color w:val="auto"/>
              </w:rPr>
            </w:pPr>
          </w:p>
        </w:tc>
        <w:tc>
          <w:tcPr>
            <w:tcW w:w="9600" w:type="dxa"/>
            <w:vAlign w:val="bottom"/>
          </w:tcPr>
          <w:p>
            <w:pPr>
              <w:ind w:left="100"/>
              <w:spacing w:after="0" w:line="146" w:lineRule="exact"/>
              <w:rPr>
                <w:sz w:val="20"/>
                <w:szCs w:val="20"/>
                <w:color w:val="auto"/>
              </w:rPr>
            </w:pPr>
            <w:r>
              <w:rPr>
                <w:rFonts w:ascii="Arial" w:cs="Arial" w:eastAsia="Arial" w:hAnsi="Arial"/>
                <w:sz w:val="13"/>
                <w:szCs w:val="13"/>
                <w:color w:val="auto"/>
                <w:w w:val="98"/>
              </w:rPr>
              <w:t>executive officers. Accordingly, the base salary for Mr. Kapoor, was temporarily reduced by 50% and the base salary for the Company's other named executive officers</w:t>
            </w:r>
          </w:p>
        </w:tc>
      </w:tr>
      <w:tr>
        <w:trPr>
          <w:trHeight w:val="144"/>
        </w:trPr>
        <w:tc>
          <w:tcPr>
            <w:tcW w:w="1700" w:type="dxa"/>
            <w:vAlign w:val="bottom"/>
            <w:tcBorders>
              <w:bottom w:val="single" w:sz="8" w:color="auto"/>
              <w:right w:val="single" w:sz="8" w:color="auto"/>
            </w:tcBorders>
          </w:tcPr>
          <w:p>
            <w:pPr>
              <w:spacing w:after="0"/>
              <w:rPr>
                <w:sz w:val="12"/>
                <w:szCs w:val="12"/>
                <w:color w:val="auto"/>
              </w:rPr>
            </w:pPr>
          </w:p>
        </w:tc>
        <w:tc>
          <w:tcPr>
            <w:tcW w:w="9600" w:type="dxa"/>
            <w:vAlign w:val="bottom"/>
            <w:tcBorders>
              <w:bottom w:val="single" w:sz="8" w:color="auto"/>
            </w:tcBorders>
          </w:tcPr>
          <w:p>
            <w:pPr>
              <w:ind w:left="100"/>
              <w:spacing w:after="0" w:line="144" w:lineRule="exact"/>
              <w:rPr>
                <w:sz w:val="20"/>
                <w:szCs w:val="20"/>
                <w:color w:val="auto"/>
              </w:rPr>
            </w:pPr>
            <w:r>
              <w:rPr>
                <w:rFonts w:ascii="Arial" w:cs="Arial" w:eastAsia="Arial" w:hAnsi="Arial"/>
                <w:sz w:val="13"/>
                <w:szCs w:val="13"/>
                <w:color w:val="auto"/>
              </w:rPr>
              <w:t>was temporarily reduced by 30%.</w:t>
            </w:r>
          </w:p>
        </w:tc>
      </w:tr>
      <w:tr>
        <w:trPr>
          <w:trHeight w:val="313"/>
        </w:trPr>
        <w:tc>
          <w:tcPr>
            <w:tcW w:w="170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Annual Bonuses</w:t>
            </w:r>
          </w:p>
        </w:tc>
        <w:tc>
          <w:tcPr>
            <w:tcW w:w="9600" w:type="dxa"/>
            <w:vAlign w:val="bottom"/>
          </w:tcPr>
          <w:p>
            <w:pPr>
              <w:ind w:left="100"/>
              <w:spacing w:after="0"/>
              <w:rPr>
                <w:sz w:val="20"/>
                <w:szCs w:val="20"/>
                <w:color w:val="auto"/>
              </w:rPr>
            </w:pPr>
            <w:r>
              <w:rPr>
                <w:rFonts w:ascii="Arial" w:cs="Arial" w:eastAsia="Arial" w:hAnsi="Arial"/>
                <w:sz w:val="13"/>
                <w:szCs w:val="13"/>
                <w:color w:val="auto"/>
                <w:w w:val="99"/>
              </w:rPr>
              <w:t>We based our annual bonuses on achievement of company goals (Adjusted EPS, revenue, &amp; AOPM), business unit goals (total revenues, business operating income,</w:t>
            </w:r>
          </w:p>
        </w:tc>
      </w:tr>
      <w:tr>
        <w:trPr>
          <w:trHeight w:val="146"/>
        </w:trPr>
        <w:tc>
          <w:tcPr>
            <w:tcW w:w="1700" w:type="dxa"/>
            <w:vAlign w:val="bottom"/>
            <w:tcBorders>
              <w:right w:val="single" w:sz="8" w:color="auto"/>
            </w:tcBorders>
          </w:tcPr>
          <w:p>
            <w:pPr>
              <w:spacing w:after="0"/>
              <w:rPr>
                <w:sz w:val="12"/>
                <w:szCs w:val="12"/>
                <w:color w:val="auto"/>
              </w:rPr>
            </w:pPr>
          </w:p>
        </w:tc>
        <w:tc>
          <w:tcPr>
            <w:tcW w:w="9600" w:type="dxa"/>
            <w:vAlign w:val="bottom"/>
          </w:tcPr>
          <w:p>
            <w:pPr>
              <w:ind w:left="100"/>
              <w:spacing w:after="0" w:line="146" w:lineRule="exact"/>
              <w:rPr>
                <w:sz w:val="20"/>
                <w:szCs w:val="20"/>
                <w:color w:val="auto"/>
              </w:rPr>
            </w:pPr>
            <w:r>
              <w:rPr>
                <w:rFonts w:ascii="Arial" w:cs="Arial" w:eastAsia="Arial" w:hAnsi="Arial"/>
                <w:sz w:val="13"/>
                <w:szCs w:val="13"/>
                <w:color w:val="auto"/>
                <w:w w:val="98"/>
              </w:rPr>
              <w:t>and AOPM) and personal performance goals. In 2020, we delivered 99.20% of our Adjusted EPS target, 89.32% of our revenue performance target, and 95.26% of our</w:t>
            </w:r>
          </w:p>
        </w:tc>
      </w:tr>
      <w:tr>
        <w:trPr>
          <w:trHeight w:val="152"/>
        </w:trPr>
        <w:tc>
          <w:tcPr>
            <w:tcW w:w="1700" w:type="dxa"/>
            <w:vAlign w:val="bottom"/>
            <w:tcBorders>
              <w:right w:val="single" w:sz="8" w:color="auto"/>
            </w:tcBorders>
          </w:tcPr>
          <w:p>
            <w:pPr>
              <w:spacing w:after="0"/>
              <w:rPr>
                <w:sz w:val="13"/>
                <w:szCs w:val="13"/>
                <w:color w:val="auto"/>
              </w:rPr>
            </w:pPr>
          </w:p>
        </w:tc>
        <w:tc>
          <w:tcPr>
            <w:tcW w:w="9600" w:type="dxa"/>
            <w:vAlign w:val="bottom"/>
          </w:tcPr>
          <w:p>
            <w:pPr>
              <w:ind w:left="100"/>
              <w:spacing w:after="0"/>
              <w:rPr>
                <w:sz w:val="20"/>
                <w:szCs w:val="20"/>
                <w:color w:val="auto"/>
              </w:rPr>
            </w:pPr>
            <w:r>
              <w:rPr>
                <w:rFonts w:ascii="Arial" w:cs="Arial" w:eastAsia="Arial" w:hAnsi="Arial"/>
                <w:sz w:val="13"/>
                <w:szCs w:val="13"/>
                <w:color w:val="auto"/>
              </w:rPr>
              <w:t>AOPM target, resulting in annual incentive payout calculations for our NEOs, ranging from 50.36% of target performance to 94.69% of target performance.</w:t>
            </w:r>
          </w:p>
        </w:tc>
      </w:tr>
      <w:tr>
        <w:trPr>
          <w:trHeight w:val="314"/>
        </w:trPr>
        <w:tc>
          <w:tcPr>
            <w:tcW w:w="1700" w:type="dxa"/>
            <w:vAlign w:val="bottom"/>
            <w:tcBorders>
              <w:right w:val="single" w:sz="8" w:color="auto"/>
            </w:tcBorders>
          </w:tcPr>
          <w:p>
            <w:pPr>
              <w:spacing w:after="0"/>
              <w:rPr>
                <w:sz w:val="24"/>
                <w:szCs w:val="24"/>
                <w:color w:val="auto"/>
              </w:rPr>
            </w:pPr>
          </w:p>
        </w:tc>
        <w:tc>
          <w:tcPr>
            <w:tcW w:w="9600" w:type="dxa"/>
            <w:vAlign w:val="bottom"/>
          </w:tcPr>
          <w:p>
            <w:pPr>
              <w:ind w:left="100"/>
              <w:spacing w:after="0"/>
              <w:rPr>
                <w:sz w:val="20"/>
                <w:szCs w:val="20"/>
                <w:color w:val="auto"/>
              </w:rPr>
            </w:pPr>
            <w:r>
              <w:rPr>
                <w:rFonts w:ascii="Arial" w:cs="Arial" w:eastAsia="Arial" w:hAnsi="Arial"/>
                <w:sz w:val="13"/>
                <w:szCs w:val="13"/>
                <w:color w:val="auto"/>
                <w:w w:val="97"/>
              </w:rPr>
              <w:t>As discussed in greater detail under Incentive Bonus on page 75, our Compensation Committee did not make adjustments to the performance targets that had previously</w:t>
            </w:r>
          </w:p>
        </w:tc>
      </w:tr>
      <w:tr>
        <w:trPr>
          <w:trHeight w:val="146"/>
        </w:trPr>
        <w:tc>
          <w:tcPr>
            <w:tcW w:w="1700" w:type="dxa"/>
            <w:vAlign w:val="bottom"/>
            <w:tcBorders>
              <w:right w:val="single" w:sz="8" w:color="auto"/>
            </w:tcBorders>
          </w:tcPr>
          <w:p>
            <w:pPr>
              <w:spacing w:after="0"/>
              <w:rPr>
                <w:sz w:val="12"/>
                <w:szCs w:val="12"/>
                <w:color w:val="auto"/>
              </w:rPr>
            </w:pPr>
          </w:p>
        </w:tc>
        <w:tc>
          <w:tcPr>
            <w:tcW w:w="9600" w:type="dxa"/>
            <w:vAlign w:val="bottom"/>
          </w:tcPr>
          <w:p>
            <w:pPr>
              <w:ind w:left="100"/>
              <w:spacing w:after="0" w:line="146" w:lineRule="exact"/>
              <w:rPr>
                <w:sz w:val="20"/>
                <w:szCs w:val="20"/>
                <w:color w:val="auto"/>
              </w:rPr>
            </w:pPr>
            <w:r>
              <w:rPr>
                <w:rFonts w:ascii="Arial" w:cs="Arial" w:eastAsia="Arial" w:hAnsi="Arial"/>
                <w:sz w:val="13"/>
                <w:szCs w:val="13"/>
                <w:color w:val="auto"/>
              </w:rPr>
              <w:t>been set, but rather reviewed Company, business unit, and individual performance and adjusted the payouts to 75% of target performance for all named executive</w:t>
            </w:r>
          </w:p>
        </w:tc>
      </w:tr>
      <w:tr>
        <w:trPr>
          <w:trHeight w:val="144"/>
        </w:trPr>
        <w:tc>
          <w:tcPr>
            <w:tcW w:w="1700" w:type="dxa"/>
            <w:vAlign w:val="bottom"/>
            <w:tcBorders>
              <w:bottom w:val="single" w:sz="8" w:color="auto"/>
              <w:right w:val="single" w:sz="8" w:color="auto"/>
            </w:tcBorders>
          </w:tcPr>
          <w:p>
            <w:pPr>
              <w:spacing w:after="0"/>
              <w:rPr>
                <w:sz w:val="12"/>
                <w:szCs w:val="12"/>
                <w:color w:val="auto"/>
              </w:rPr>
            </w:pPr>
          </w:p>
        </w:tc>
        <w:tc>
          <w:tcPr>
            <w:tcW w:w="9600" w:type="dxa"/>
            <w:vAlign w:val="bottom"/>
            <w:tcBorders>
              <w:bottom w:val="single" w:sz="8" w:color="auto"/>
            </w:tcBorders>
          </w:tcPr>
          <w:p>
            <w:pPr>
              <w:ind w:left="100"/>
              <w:spacing w:after="0" w:line="144" w:lineRule="exact"/>
              <w:rPr>
                <w:sz w:val="20"/>
                <w:szCs w:val="20"/>
                <w:color w:val="auto"/>
              </w:rPr>
            </w:pPr>
            <w:r>
              <w:rPr>
                <w:rFonts w:ascii="Arial" w:cs="Arial" w:eastAsia="Arial" w:hAnsi="Arial"/>
                <w:sz w:val="13"/>
                <w:szCs w:val="13"/>
                <w:color w:val="auto"/>
              </w:rPr>
              <w:t>officers taking into account the unanticipated impact of the COVID-19 pandemic and the teamwork and extraordinary efforts of the named executive officers.</w:t>
            </w:r>
          </w:p>
        </w:tc>
      </w:tr>
      <w:tr>
        <w:trPr>
          <w:trHeight w:val="313"/>
        </w:trPr>
        <w:tc>
          <w:tcPr>
            <w:tcW w:w="170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Equity Incentives</w:t>
            </w:r>
          </w:p>
        </w:tc>
        <w:tc>
          <w:tcPr>
            <w:tcW w:w="9600" w:type="dxa"/>
            <w:vAlign w:val="bottom"/>
          </w:tcPr>
          <w:p>
            <w:pPr>
              <w:ind w:left="100"/>
              <w:spacing w:after="0"/>
              <w:rPr>
                <w:sz w:val="20"/>
                <w:szCs w:val="20"/>
                <w:color w:val="auto"/>
              </w:rPr>
            </w:pPr>
            <w:r>
              <w:rPr>
                <w:rFonts w:ascii="Arial" w:cs="Arial" w:eastAsia="Arial" w:hAnsi="Arial"/>
                <w:sz w:val="13"/>
                <w:szCs w:val="13"/>
                <w:color w:val="auto"/>
                <w:w w:val="99"/>
              </w:rPr>
              <w:t>This was the third and final performance year for the 2018 performance-based restricted stock units. We achieved 99.89% of the revenue target for the revenue-linked</w:t>
            </w:r>
          </w:p>
        </w:tc>
      </w:tr>
      <w:tr>
        <w:trPr>
          <w:trHeight w:val="146"/>
        </w:trPr>
        <w:tc>
          <w:tcPr>
            <w:tcW w:w="1700" w:type="dxa"/>
            <w:vAlign w:val="bottom"/>
            <w:tcBorders>
              <w:right w:val="single" w:sz="8" w:color="auto"/>
            </w:tcBorders>
          </w:tcPr>
          <w:p>
            <w:pPr>
              <w:spacing w:after="0"/>
              <w:rPr>
                <w:sz w:val="12"/>
                <w:szCs w:val="12"/>
                <w:color w:val="auto"/>
              </w:rPr>
            </w:pPr>
          </w:p>
        </w:tc>
        <w:tc>
          <w:tcPr>
            <w:tcW w:w="9600" w:type="dxa"/>
            <w:vAlign w:val="bottom"/>
          </w:tcPr>
          <w:p>
            <w:pPr>
              <w:ind w:left="100"/>
              <w:spacing w:after="0" w:line="146" w:lineRule="exact"/>
              <w:rPr>
                <w:sz w:val="20"/>
                <w:szCs w:val="20"/>
                <w:color w:val="auto"/>
              </w:rPr>
            </w:pPr>
            <w:r>
              <w:rPr>
                <w:rFonts w:ascii="Arial" w:cs="Arial" w:eastAsia="Arial" w:hAnsi="Arial"/>
                <w:sz w:val="13"/>
                <w:szCs w:val="13"/>
                <w:color w:val="auto"/>
                <w:w w:val="98"/>
              </w:rPr>
              <w:t>restricted stock units resulting in 100% of target funding of those grants. The Company's TSR performance was at the 46.51 percentile amongst its peer group, resulting</w:t>
            </w:r>
          </w:p>
        </w:tc>
      </w:tr>
      <w:tr>
        <w:trPr>
          <w:trHeight w:val="146"/>
        </w:trPr>
        <w:tc>
          <w:tcPr>
            <w:tcW w:w="1700" w:type="dxa"/>
            <w:vAlign w:val="bottom"/>
            <w:tcBorders>
              <w:right w:val="single" w:sz="8" w:color="auto"/>
            </w:tcBorders>
          </w:tcPr>
          <w:p>
            <w:pPr>
              <w:spacing w:after="0"/>
              <w:rPr>
                <w:sz w:val="12"/>
                <w:szCs w:val="12"/>
                <w:color w:val="auto"/>
              </w:rPr>
            </w:pPr>
          </w:p>
        </w:tc>
        <w:tc>
          <w:tcPr>
            <w:tcW w:w="9600" w:type="dxa"/>
            <w:vAlign w:val="bottom"/>
          </w:tcPr>
          <w:p>
            <w:pPr>
              <w:ind w:left="100"/>
              <w:spacing w:after="0" w:line="146" w:lineRule="exact"/>
              <w:rPr>
                <w:sz w:val="20"/>
                <w:szCs w:val="20"/>
                <w:color w:val="auto"/>
              </w:rPr>
            </w:pPr>
            <w:r>
              <w:rPr>
                <w:rFonts w:ascii="Arial" w:cs="Arial" w:eastAsia="Arial" w:hAnsi="Arial"/>
                <w:sz w:val="13"/>
                <w:szCs w:val="13"/>
                <w:color w:val="auto"/>
                <w:w w:val="97"/>
              </w:rPr>
              <w:t>in the executives earning 88.37% of the 2018 relative TSR-linked restricted stock units pursuant to the terms of the original grant resulting in vesting of shares at 94.13%</w:t>
            </w:r>
          </w:p>
        </w:tc>
      </w:tr>
      <w:tr>
        <w:trPr>
          <w:trHeight w:val="146"/>
        </w:trPr>
        <w:tc>
          <w:tcPr>
            <w:tcW w:w="1700" w:type="dxa"/>
            <w:vAlign w:val="bottom"/>
            <w:tcBorders>
              <w:right w:val="single" w:sz="8" w:color="auto"/>
            </w:tcBorders>
          </w:tcPr>
          <w:p>
            <w:pPr>
              <w:spacing w:after="0"/>
              <w:rPr>
                <w:sz w:val="12"/>
                <w:szCs w:val="12"/>
                <w:color w:val="auto"/>
              </w:rPr>
            </w:pPr>
          </w:p>
        </w:tc>
        <w:tc>
          <w:tcPr>
            <w:tcW w:w="9600" w:type="dxa"/>
            <w:vAlign w:val="bottom"/>
          </w:tcPr>
          <w:p>
            <w:pPr>
              <w:ind w:left="100"/>
              <w:spacing w:after="0" w:line="146" w:lineRule="exact"/>
              <w:rPr>
                <w:sz w:val="20"/>
                <w:szCs w:val="20"/>
                <w:color w:val="auto"/>
              </w:rPr>
            </w:pPr>
            <w:r>
              <w:rPr>
                <w:rFonts w:ascii="Arial" w:cs="Arial" w:eastAsia="Arial" w:hAnsi="Arial"/>
                <w:sz w:val="13"/>
                <w:szCs w:val="13"/>
                <w:color w:val="auto"/>
              </w:rPr>
              <w:t>of target performance. No adjustments were made to the 2018 performance-based restricted stock units or the associated performance targets — or the outstanding</w:t>
            </w:r>
          </w:p>
        </w:tc>
      </w:tr>
      <w:tr>
        <w:trPr>
          <w:trHeight w:val="146"/>
        </w:trPr>
        <w:tc>
          <w:tcPr>
            <w:tcW w:w="1700" w:type="dxa"/>
            <w:vAlign w:val="bottom"/>
            <w:tcBorders>
              <w:right w:val="single" w:sz="8" w:color="auto"/>
            </w:tcBorders>
          </w:tcPr>
          <w:p>
            <w:pPr>
              <w:spacing w:after="0"/>
              <w:rPr>
                <w:sz w:val="12"/>
                <w:szCs w:val="12"/>
                <w:color w:val="auto"/>
              </w:rPr>
            </w:pPr>
          </w:p>
        </w:tc>
        <w:tc>
          <w:tcPr>
            <w:tcW w:w="9600" w:type="dxa"/>
            <w:vAlign w:val="bottom"/>
          </w:tcPr>
          <w:p>
            <w:pPr>
              <w:ind w:left="100"/>
              <w:spacing w:after="0" w:line="146" w:lineRule="exact"/>
              <w:rPr>
                <w:sz w:val="20"/>
                <w:szCs w:val="20"/>
                <w:color w:val="auto"/>
              </w:rPr>
            </w:pPr>
            <w:r>
              <w:rPr>
                <w:rFonts w:ascii="Arial" w:cs="Arial" w:eastAsia="Arial" w:hAnsi="Arial"/>
                <w:sz w:val="13"/>
                <w:szCs w:val="13"/>
                <w:color w:val="auto"/>
                <w:w w:val="99"/>
              </w:rPr>
              <w:t>2019 and 2020 performance-based restricted stock units or associated performance targets — to account for the impact of the COVID-19 pandemic in the 2020 fiscal</w:t>
            </w:r>
          </w:p>
        </w:tc>
      </w:tr>
      <w:tr>
        <w:trPr>
          <w:trHeight w:val="153"/>
        </w:trPr>
        <w:tc>
          <w:tcPr>
            <w:tcW w:w="1700" w:type="dxa"/>
            <w:vAlign w:val="bottom"/>
            <w:tcBorders>
              <w:bottom w:val="single" w:sz="8" w:color="479EFF"/>
              <w:right w:val="single" w:sz="8" w:color="auto"/>
            </w:tcBorders>
          </w:tcPr>
          <w:p>
            <w:pPr>
              <w:spacing w:after="0"/>
              <w:rPr>
                <w:sz w:val="13"/>
                <w:szCs w:val="13"/>
                <w:color w:val="auto"/>
              </w:rPr>
            </w:pPr>
          </w:p>
        </w:tc>
        <w:tc>
          <w:tcPr>
            <w:tcW w:w="9600" w:type="dxa"/>
            <w:vAlign w:val="bottom"/>
            <w:tcBorders>
              <w:bottom w:val="single" w:sz="8" w:color="479EFF"/>
            </w:tcBorders>
          </w:tcPr>
          <w:p>
            <w:pPr>
              <w:ind w:left="100"/>
              <w:spacing w:after="0" w:line="144" w:lineRule="exact"/>
              <w:rPr>
                <w:sz w:val="20"/>
                <w:szCs w:val="20"/>
                <w:color w:val="auto"/>
              </w:rPr>
            </w:pPr>
            <w:r>
              <w:rPr>
                <w:rFonts w:ascii="Arial" w:cs="Arial" w:eastAsia="Arial" w:hAnsi="Arial"/>
                <w:sz w:val="13"/>
                <w:szCs w:val="13"/>
                <w:color w:val="auto"/>
              </w:rPr>
              <w:t>year.</w:t>
            </w:r>
          </w:p>
        </w:tc>
      </w:tr>
      <w:tr>
        <w:trPr>
          <w:trHeight w:val="660"/>
        </w:trPr>
        <w:tc>
          <w:tcPr>
            <w:tcW w:w="1700" w:type="dxa"/>
            <w:vAlign w:val="bottom"/>
          </w:tcPr>
          <w:p>
            <w:pPr>
              <w:spacing w:after="0"/>
              <w:rPr>
                <w:sz w:val="24"/>
                <w:szCs w:val="24"/>
                <w:color w:val="auto"/>
              </w:rPr>
            </w:pPr>
          </w:p>
        </w:tc>
        <w:tc>
          <w:tcPr>
            <w:tcW w:w="9600" w:type="dxa"/>
            <w:vAlign w:val="bottom"/>
          </w:tcPr>
          <w:p>
            <w:pPr>
              <w:ind w:left="9160"/>
              <w:spacing w:after="0"/>
              <w:rPr>
                <w:sz w:val="20"/>
                <w:szCs w:val="20"/>
                <w:color w:val="auto"/>
              </w:rPr>
            </w:pPr>
            <w:r>
              <w:rPr>
                <w:rFonts w:ascii="Arial" w:cs="Arial" w:eastAsia="Arial" w:hAnsi="Arial"/>
                <w:sz w:val="13"/>
                <w:szCs w:val="13"/>
                <w:color w:val="FFFFFE"/>
              </w:rPr>
              <w:t>65</w:t>
            </w:r>
          </w:p>
        </w:tc>
      </w:tr>
      <w:tr>
        <w:trPr>
          <w:trHeight w:val="414"/>
        </w:trPr>
        <w:tc>
          <w:tcPr>
            <w:tcW w:w="1700" w:type="dxa"/>
            <w:vAlign w:val="bottom"/>
            <w:tcBorders>
              <w:bottom w:val="single" w:sz="8" w:color="808080"/>
            </w:tcBorders>
          </w:tcPr>
          <w:p>
            <w:pPr>
              <w:spacing w:after="0"/>
              <w:rPr>
                <w:sz w:val="24"/>
                <w:szCs w:val="24"/>
                <w:color w:val="auto"/>
              </w:rPr>
            </w:pPr>
          </w:p>
        </w:tc>
        <w:tc>
          <w:tcPr>
            <w:tcW w:w="9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-12065</wp:posOffset>
            </wp:positionV>
            <wp:extent cx="1270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-496570</wp:posOffset>
            </wp:positionV>
            <wp:extent cx="1408430" cy="3333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6" w:name="page67"/>
    <w:bookmarkEnd w:id="66"/>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Pay-for-Performance</w:t>
      </w:r>
    </w:p>
    <w:p>
      <w:pPr>
        <w:spacing w:after="0" w:line="168"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Our executive compensation philosophy is focused on pay-for-performance. In this regard, we link a significant portion of each NEO's total compensation to the achievement of specified performance goals. This variable compensation is "at-risk" and rewards performance and contributions to both short- and long-term financial performance</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As illustrated by the following charts, the majority of compensation that may be earned by our named executive officers is tied to the achievement of financial performance metrics (annual performance bonuses and PRSUs) or fluctuates with the underlying value of our common stock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5867400" cy="28536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867400" cy="285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140"/>
          </w:cols>
          <w:pgMar w:left="300" w:top="142" w:right="459" w:bottom="1440" w:gutter="0" w:footer="0" w:header="0"/>
        </w:sectPr>
      </w:pPr>
    </w:p>
    <w:bookmarkStart w:id="67" w:name="page68"/>
    <w:bookmarkEnd w:id="67"/>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840"/>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Executive Compensation Program, Practices and Policies</w:t>
      </w:r>
    </w:p>
    <w:p>
      <w:pPr>
        <w:spacing w:after="0" w:line="168" w:lineRule="exact"/>
        <w:rPr>
          <w:sz w:val="20"/>
          <w:szCs w:val="20"/>
          <w:color w:val="auto"/>
        </w:rPr>
      </w:pPr>
    </w:p>
    <w:p>
      <w:pPr>
        <w:ind w:right="20"/>
        <w:spacing w:after="0" w:line="236" w:lineRule="auto"/>
        <w:rPr>
          <w:sz w:val="20"/>
          <w:szCs w:val="20"/>
          <w:color w:val="auto"/>
        </w:rPr>
      </w:pPr>
      <w:r>
        <w:rPr>
          <w:rFonts w:ascii="Arial" w:cs="Arial" w:eastAsia="Arial" w:hAnsi="Arial"/>
          <w:sz w:val="13"/>
          <w:szCs w:val="13"/>
          <w:color w:val="auto"/>
        </w:rPr>
        <w:t>Our compensation programs, practices and policies are reviewed and re-evaluated regularly and are subject to change from time to time in line with market best practices, including alignment of pay with performance. Our executive compensation philosophy is aligned with our core values, focused on pay-for-performance and designed to reflect appropriate governance practices aligned with the needs of our business. Listed below are some of the Company's more significant practices and policies that were in effect during fiscal year 2020, which were adopted to drive performance and to align our executives' interests with those of our stockholders.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660" w:type="dxa"/>
            <w:vAlign w:val="bottom"/>
            <w:tcBorders>
              <w:bottom w:val="single" w:sz="8" w:color="479EFF"/>
            </w:tcBorders>
            <w:gridSpan w:val="2"/>
          </w:tcPr>
          <w:p>
            <w:pPr>
              <w:spacing w:after="0"/>
              <w:rPr>
                <w:sz w:val="20"/>
                <w:szCs w:val="20"/>
                <w:color w:val="auto"/>
              </w:rPr>
            </w:pPr>
            <w:r>
              <w:rPr>
                <w:rFonts w:ascii="Arial" w:cs="Arial" w:eastAsia="Arial" w:hAnsi="Arial"/>
                <w:sz w:val="10"/>
                <w:szCs w:val="10"/>
                <w:b w:val="1"/>
                <w:bCs w:val="1"/>
                <w:color w:val="479EFF"/>
              </w:rPr>
              <w:t>What We Do</w:t>
            </w:r>
          </w:p>
        </w:tc>
        <w:tc>
          <w:tcPr>
            <w:tcW w:w="5640" w:type="dxa"/>
            <w:vAlign w:val="bottom"/>
            <w:tcBorders>
              <w:bottom w:val="single" w:sz="8" w:color="479EFF"/>
            </w:tcBorders>
            <w:gridSpan w:val="2"/>
          </w:tcPr>
          <w:p>
            <w:pPr>
              <w:jc w:val="right"/>
              <w:ind w:right="4577"/>
              <w:spacing w:after="0"/>
              <w:rPr>
                <w:sz w:val="20"/>
                <w:szCs w:val="20"/>
                <w:color w:val="auto"/>
              </w:rPr>
            </w:pPr>
            <w:r>
              <w:rPr>
                <w:rFonts w:ascii="Arial" w:cs="Arial" w:eastAsia="Arial" w:hAnsi="Arial"/>
                <w:sz w:val="10"/>
                <w:szCs w:val="10"/>
                <w:b w:val="1"/>
                <w:bCs w:val="1"/>
                <w:color w:val="479EFF"/>
              </w:rPr>
              <w:t>What We Don't Do</w:t>
            </w:r>
          </w:p>
        </w:tc>
      </w:tr>
      <w:tr>
        <w:trPr>
          <w:trHeight w:val="323"/>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Align our Executive Pay with Performance: </w:t>
            </w:r>
            <w:r>
              <w:rPr>
                <w:rFonts w:ascii="Arial" w:cs="Arial" w:eastAsia="Arial" w:hAnsi="Arial"/>
                <w:sz w:val="13"/>
                <w:szCs w:val="13"/>
                <w:color w:val="auto"/>
              </w:rPr>
              <w:t>We link a significant portion of each</w:t>
            </w:r>
          </w:p>
        </w:tc>
        <w:tc>
          <w:tcPr>
            <w:tcW w:w="680" w:type="dxa"/>
            <w:vAlign w:val="bottom"/>
            <w:tcBorders>
              <w:right w:val="single" w:sz="8" w:color="auto"/>
            </w:tcBorders>
          </w:tcPr>
          <w:p>
            <w:pPr>
              <w:spacing w:after="0"/>
              <w:rPr>
                <w:sz w:val="24"/>
                <w:szCs w:val="24"/>
                <w:color w:val="auto"/>
              </w:rPr>
            </w:pPr>
          </w:p>
        </w:tc>
        <w:tc>
          <w:tcPr>
            <w:tcW w:w="4960" w:type="dxa"/>
            <w:vAlign w:val="bottom"/>
          </w:tcPr>
          <w:p>
            <w:pPr>
              <w:ind w:left="100"/>
              <w:spacing w:after="0"/>
              <w:rPr>
                <w:sz w:val="20"/>
                <w:szCs w:val="20"/>
                <w:color w:val="auto"/>
              </w:rPr>
            </w:pPr>
            <w:r>
              <w:rPr>
                <w:rFonts w:ascii="Arial" w:cs="Arial" w:eastAsia="Arial" w:hAnsi="Arial"/>
                <w:sz w:val="13"/>
                <w:szCs w:val="13"/>
                <w:b w:val="1"/>
                <w:bCs w:val="1"/>
                <w:color w:val="auto"/>
              </w:rPr>
              <w:t xml:space="preserve">No Option Repricing: </w:t>
            </w:r>
            <w:r>
              <w:rPr>
                <w:rFonts w:ascii="Arial" w:cs="Arial" w:eastAsia="Arial" w:hAnsi="Arial"/>
                <w:sz w:val="13"/>
                <w:szCs w:val="13"/>
                <w:color w:val="auto"/>
              </w:rPr>
              <w:t>We prohibit option repricing without stockholder approval.</w:t>
            </w:r>
          </w:p>
        </w:tc>
      </w:tr>
      <w:tr>
        <w:trPr>
          <w:trHeight w:val="152"/>
        </w:trPr>
        <w:tc>
          <w:tcPr>
            <w:tcW w:w="520" w:type="dxa"/>
            <w:vAlign w:val="bottom"/>
            <w:tcBorders>
              <w:right w:val="single" w:sz="8" w:color="auto"/>
            </w:tcBorders>
          </w:tcPr>
          <w:p>
            <w:pPr>
              <w:spacing w:after="0"/>
              <w:rPr>
                <w:sz w:val="13"/>
                <w:szCs w:val="13"/>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NEO's total compensation to the achievement of specific performance goals.</w:t>
            </w:r>
          </w:p>
        </w:tc>
        <w:tc>
          <w:tcPr>
            <w:tcW w:w="680" w:type="dxa"/>
            <w:vAlign w:val="bottom"/>
            <w:tcBorders>
              <w:right w:val="single" w:sz="8" w:color="auto"/>
            </w:tcBorders>
          </w:tcPr>
          <w:p>
            <w:pPr>
              <w:spacing w:after="0"/>
              <w:rPr>
                <w:sz w:val="13"/>
                <w:szCs w:val="13"/>
                <w:color w:val="auto"/>
              </w:rPr>
            </w:pPr>
          </w:p>
        </w:tc>
        <w:tc>
          <w:tcPr>
            <w:tcW w:w="4960" w:type="dxa"/>
            <w:vAlign w:val="bottom"/>
          </w:tcPr>
          <w:p>
            <w:pPr>
              <w:spacing w:after="0"/>
              <w:rPr>
                <w:sz w:val="13"/>
                <w:szCs w:val="13"/>
                <w:color w:val="auto"/>
              </w:rPr>
            </w:pPr>
          </w:p>
        </w:tc>
      </w:tr>
      <w:tr>
        <w:trPr>
          <w:trHeight w:val="353"/>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Variable compensation is "at-risk" and rewards performance and contributions to both</w:t>
            </w:r>
          </w:p>
        </w:tc>
        <w:tc>
          <w:tcPr>
            <w:tcW w:w="680" w:type="dxa"/>
            <w:vAlign w:val="bottom"/>
            <w:tcBorders>
              <w:right w:val="single" w:sz="8" w:color="auto"/>
            </w:tcBorders>
          </w:tcPr>
          <w:p>
            <w:pPr>
              <w:spacing w:after="0"/>
              <w:rPr>
                <w:sz w:val="24"/>
                <w:szCs w:val="24"/>
                <w:color w:val="auto"/>
              </w:rPr>
            </w:pPr>
          </w:p>
        </w:tc>
        <w:tc>
          <w:tcPr>
            <w:tcW w:w="4960" w:type="dxa"/>
            <w:vAlign w:val="bottom"/>
          </w:tcPr>
          <w:p>
            <w:pPr>
              <w:spacing w:after="0"/>
              <w:rPr>
                <w:sz w:val="24"/>
                <w:szCs w:val="24"/>
                <w:color w:val="auto"/>
              </w:rPr>
            </w:pPr>
          </w:p>
        </w:tc>
      </w:tr>
      <w:tr>
        <w:trPr>
          <w:trHeight w:val="144"/>
        </w:trPr>
        <w:tc>
          <w:tcPr>
            <w:tcW w:w="520" w:type="dxa"/>
            <w:vAlign w:val="bottom"/>
            <w:tcBorders>
              <w:bottom w:val="single" w:sz="8" w:color="auto"/>
              <w:right w:val="single" w:sz="8" w:color="auto"/>
            </w:tcBorders>
          </w:tcPr>
          <w:p>
            <w:pPr>
              <w:spacing w:after="0"/>
              <w:rPr>
                <w:sz w:val="12"/>
                <w:szCs w:val="12"/>
                <w:color w:val="auto"/>
              </w:rPr>
            </w:pPr>
          </w:p>
        </w:tc>
        <w:tc>
          <w:tcPr>
            <w:tcW w:w="514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short- and long-term financial performance.</w:t>
            </w:r>
          </w:p>
        </w:tc>
        <w:tc>
          <w:tcPr>
            <w:tcW w:w="6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313"/>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Use Appropriate Peer Groups When Establishing Compensation: </w:t>
            </w:r>
            <w:r>
              <w:rPr>
                <w:rFonts w:ascii="Arial" w:cs="Arial" w:eastAsia="Arial" w:hAnsi="Arial"/>
                <w:sz w:val="13"/>
                <w:szCs w:val="13"/>
                <w:color w:val="auto"/>
              </w:rPr>
              <w:t>We established</w:t>
            </w:r>
          </w:p>
        </w:tc>
        <w:tc>
          <w:tcPr>
            <w:tcW w:w="680" w:type="dxa"/>
            <w:vAlign w:val="bottom"/>
            <w:tcBorders>
              <w:right w:val="single" w:sz="8" w:color="auto"/>
            </w:tcBorders>
          </w:tcPr>
          <w:p>
            <w:pPr>
              <w:spacing w:after="0"/>
              <w:rPr>
                <w:sz w:val="24"/>
                <w:szCs w:val="24"/>
                <w:color w:val="auto"/>
              </w:rPr>
            </w:pPr>
          </w:p>
        </w:tc>
        <w:tc>
          <w:tcPr>
            <w:tcW w:w="4960" w:type="dxa"/>
            <w:vAlign w:val="bottom"/>
          </w:tcPr>
          <w:p>
            <w:pPr>
              <w:ind w:left="100"/>
              <w:spacing w:after="0"/>
              <w:rPr>
                <w:sz w:val="20"/>
                <w:szCs w:val="20"/>
                <w:color w:val="auto"/>
              </w:rPr>
            </w:pPr>
            <w:r>
              <w:rPr>
                <w:rFonts w:ascii="Arial" w:cs="Arial" w:eastAsia="Arial" w:hAnsi="Arial"/>
                <w:sz w:val="13"/>
                <w:szCs w:val="13"/>
                <w:b w:val="1"/>
                <w:bCs w:val="1"/>
                <w:color w:val="auto"/>
              </w:rPr>
              <w:t xml:space="preserve">No Option Backdating or Discounting: </w:t>
            </w:r>
            <w:r>
              <w:rPr>
                <w:rFonts w:ascii="Arial" w:cs="Arial" w:eastAsia="Arial" w:hAnsi="Arial"/>
                <w:sz w:val="13"/>
                <w:szCs w:val="13"/>
                <w:color w:val="auto"/>
              </w:rPr>
              <w:t>We prohibit option backdating and</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a peer group to help us review market practices and design a competitive</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discounting.</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compensation program. The criteria for peer group selection include similar market</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capitalization, annual revenues, scope of operations, potential mobility of talent and</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52"/>
        </w:trPr>
        <w:tc>
          <w:tcPr>
            <w:tcW w:w="520" w:type="dxa"/>
            <w:vAlign w:val="bottom"/>
            <w:tcBorders>
              <w:right w:val="single" w:sz="8" w:color="auto"/>
            </w:tcBorders>
          </w:tcPr>
          <w:p>
            <w:pPr>
              <w:spacing w:after="0"/>
              <w:rPr>
                <w:sz w:val="13"/>
                <w:szCs w:val="13"/>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industry alignment.</w:t>
            </w:r>
          </w:p>
        </w:tc>
        <w:tc>
          <w:tcPr>
            <w:tcW w:w="680" w:type="dxa"/>
            <w:vAlign w:val="bottom"/>
            <w:tcBorders>
              <w:right w:val="single" w:sz="8" w:color="auto"/>
            </w:tcBorders>
          </w:tcPr>
          <w:p>
            <w:pPr>
              <w:spacing w:after="0"/>
              <w:rPr>
                <w:sz w:val="13"/>
                <w:szCs w:val="13"/>
                <w:color w:val="auto"/>
              </w:rPr>
            </w:pPr>
          </w:p>
        </w:tc>
        <w:tc>
          <w:tcPr>
            <w:tcW w:w="4960" w:type="dxa"/>
            <w:vAlign w:val="bottom"/>
          </w:tcPr>
          <w:p>
            <w:pPr>
              <w:spacing w:after="0"/>
              <w:rPr>
                <w:sz w:val="13"/>
                <w:szCs w:val="13"/>
                <w:color w:val="auto"/>
              </w:rPr>
            </w:pPr>
          </w:p>
        </w:tc>
      </w:tr>
      <w:tr>
        <w:trPr>
          <w:trHeight w:val="314"/>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We set compensation of our executive officers at levels that we believe are appropriate</w:t>
            </w:r>
          </w:p>
        </w:tc>
        <w:tc>
          <w:tcPr>
            <w:tcW w:w="680" w:type="dxa"/>
            <w:vAlign w:val="bottom"/>
            <w:tcBorders>
              <w:right w:val="single" w:sz="8" w:color="auto"/>
            </w:tcBorders>
          </w:tcPr>
          <w:p>
            <w:pPr>
              <w:spacing w:after="0"/>
              <w:rPr>
                <w:sz w:val="24"/>
                <w:szCs w:val="24"/>
                <w:color w:val="auto"/>
              </w:rPr>
            </w:pPr>
          </w:p>
        </w:tc>
        <w:tc>
          <w:tcPr>
            <w:tcW w:w="4960" w:type="dxa"/>
            <w:vAlign w:val="bottom"/>
          </w:tcPr>
          <w:p>
            <w:pPr>
              <w:spacing w:after="0"/>
              <w:rPr>
                <w:sz w:val="24"/>
                <w:szCs w:val="24"/>
                <w:color w:val="auto"/>
              </w:rPr>
            </w:pP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relative to the compensation paid to similarly situated officers of our peers, giving</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44"/>
        </w:trPr>
        <w:tc>
          <w:tcPr>
            <w:tcW w:w="520" w:type="dxa"/>
            <w:vAlign w:val="bottom"/>
            <w:tcBorders>
              <w:bottom w:val="single" w:sz="8" w:color="auto"/>
              <w:right w:val="single" w:sz="8" w:color="auto"/>
            </w:tcBorders>
          </w:tcPr>
          <w:p>
            <w:pPr>
              <w:spacing w:after="0"/>
              <w:rPr>
                <w:sz w:val="12"/>
                <w:szCs w:val="12"/>
                <w:color w:val="auto"/>
              </w:rPr>
            </w:pPr>
          </w:p>
        </w:tc>
        <w:tc>
          <w:tcPr>
            <w:tcW w:w="514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consideration to market and other factors.</w:t>
            </w:r>
          </w:p>
        </w:tc>
        <w:tc>
          <w:tcPr>
            <w:tcW w:w="6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313"/>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Ensure Equity Compensation Best Practices: </w:t>
            </w:r>
            <w:r>
              <w:rPr>
                <w:rFonts w:ascii="Arial" w:cs="Arial" w:eastAsia="Arial" w:hAnsi="Arial"/>
                <w:sz w:val="13"/>
                <w:szCs w:val="13"/>
                <w:color w:val="auto"/>
              </w:rPr>
              <w:t>We design equity incentives to</w:t>
            </w:r>
          </w:p>
        </w:tc>
        <w:tc>
          <w:tcPr>
            <w:tcW w:w="680" w:type="dxa"/>
            <w:vAlign w:val="bottom"/>
            <w:tcBorders>
              <w:right w:val="single" w:sz="8" w:color="auto"/>
            </w:tcBorders>
          </w:tcPr>
          <w:p>
            <w:pPr>
              <w:spacing w:after="0"/>
              <w:rPr>
                <w:sz w:val="24"/>
                <w:szCs w:val="24"/>
                <w:color w:val="auto"/>
              </w:rPr>
            </w:pPr>
          </w:p>
        </w:tc>
        <w:tc>
          <w:tcPr>
            <w:tcW w:w="4960" w:type="dxa"/>
            <w:vAlign w:val="bottom"/>
          </w:tcPr>
          <w:p>
            <w:pPr>
              <w:ind w:left="100"/>
              <w:spacing w:after="0"/>
              <w:rPr>
                <w:sz w:val="20"/>
                <w:szCs w:val="20"/>
                <w:color w:val="auto"/>
              </w:rPr>
            </w:pPr>
            <w:r>
              <w:rPr>
                <w:rFonts w:ascii="Arial" w:cs="Arial" w:eastAsia="Arial" w:hAnsi="Arial"/>
                <w:sz w:val="13"/>
                <w:szCs w:val="13"/>
                <w:b w:val="1"/>
                <w:bCs w:val="1"/>
                <w:color w:val="auto"/>
                <w:w w:val="97"/>
              </w:rPr>
              <w:t xml:space="preserve">No Excessive Overhang or Dilution: </w:t>
            </w:r>
            <w:r>
              <w:rPr>
                <w:rFonts w:ascii="Arial" w:cs="Arial" w:eastAsia="Arial" w:hAnsi="Arial"/>
                <w:sz w:val="13"/>
                <w:szCs w:val="13"/>
                <w:color w:val="auto"/>
                <w:w w:val="97"/>
              </w:rPr>
              <w:t>We do not have excessive overhang or dilution</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encourage our executives to maintain a long-term view of stockholder value creation,</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from equity grants</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to encourage retention and to ensure a significant portion of the award is performance-</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based. Equity awards are granted on the basis of the executive's prior year's</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performance and are subject to time or performance-based vesting conditions. A</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significant portion of such awards only pay out according to the achievement of</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52"/>
        </w:trPr>
        <w:tc>
          <w:tcPr>
            <w:tcW w:w="520" w:type="dxa"/>
            <w:vAlign w:val="bottom"/>
            <w:tcBorders>
              <w:right w:val="single" w:sz="8" w:color="auto"/>
            </w:tcBorders>
          </w:tcPr>
          <w:p>
            <w:pPr>
              <w:spacing w:after="0"/>
              <w:rPr>
                <w:sz w:val="13"/>
                <w:szCs w:val="13"/>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Company performance goals covering a 3-year period.</w:t>
            </w:r>
          </w:p>
        </w:tc>
        <w:tc>
          <w:tcPr>
            <w:tcW w:w="680" w:type="dxa"/>
            <w:vAlign w:val="bottom"/>
            <w:tcBorders>
              <w:right w:val="single" w:sz="8" w:color="auto"/>
            </w:tcBorders>
          </w:tcPr>
          <w:p>
            <w:pPr>
              <w:spacing w:after="0"/>
              <w:rPr>
                <w:sz w:val="13"/>
                <w:szCs w:val="13"/>
                <w:color w:val="auto"/>
              </w:rPr>
            </w:pPr>
          </w:p>
        </w:tc>
        <w:tc>
          <w:tcPr>
            <w:tcW w:w="4960" w:type="dxa"/>
            <w:vAlign w:val="bottom"/>
          </w:tcPr>
          <w:p>
            <w:pPr>
              <w:spacing w:after="0"/>
              <w:rPr>
                <w:sz w:val="13"/>
                <w:szCs w:val="13"/>
                <w:color w:val="auto"/>
              </w:rPr>
            </w:pPr>
          </w:p>
        </w:tc>
      </w:tr>
      <w:tr>
        <w:trPr>
          <w:trHeight w:val="314"/>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We hold dividends accrued under our equity awards, if any, until the recipient vests in</w:t>
            </w:r>
          </w:p>
        </w:tc>
        <w:tc>
          <w:tcPr>
            <w:tcW w:w="680" w:type="dxa"/>
            <w:vAlign w:val="bottom"/>
            <w:tcBorders>
              <w:right w:val="single" w:sz="8" w:color="auto"/>
            </w:tcBorders>
          </w:tcPr>
          <w:p>
            <w:pPr>
              <w:spacing w:after="0"/>
              <w:rPr>
                <w:sz w:val="24"/>
                <w:szCs w:val="24"/>
                <w:color w:val="auto"/>
              </w:rPr>
            </w:pPr>
          </w:p>
        </w:tc>
        <w:tc>
          <w:tcPr>
            <w:tcW w:w="4960" w:type="dxa"/>
            <w:vAlign w:val="bottom"/>
          </w:tcPr>
          <w:p>
            <w:pPr>
              <w:spacing w:after="0"/>
              <w:rPr>
                <w:sz w:val="24"/>
                <w:szCs w:val="24"/>
                <w:color w:val="auto"/>
              </w:rPr>
            </w:pPr>
          </w:p>
        </w:tc>
      </w:tr>
      <w:tr>
        <w:trPr>
          <w:trHeight w:val="144"/>
        </w:trPr>
        <w:tc>
          <w:tcPr>
            <w:tcW w:w="520" w:type="dxa"/>
            <w:vAlign w:val="bottom"/>
            <w:tcBorders>
              <w:bottom w:val="single" w:sz="8" w:color="auto"/>
              <w:right w:val="single" w:sz="8" w:color="auto"/>
            </w:tcBorders>
          </w:tcPr>
          <w:p>
            <w:pPr>
              <w:spacing w:after="0"/>
              <w:rPr>
                <w:sz w:val="12"/>
                <w:szCs w:val="12"/>
                <w:color w:val="auto"/>
              </w:rPr>
            </w:pPr>
          </w:p>
        </w:tc>
        <w:tc>
          <w:tcPr>
            <w:tcW w:w="514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the underlying shares or units.</w:t>
            </w:r>
          </w:p>
        </w:tc>
        <w:tc>
          <w:tcPr>
            <w:tcW w:w="6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313"/>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Maintain an Independent Compensation Committee: </w:t>
            </w:r>
            <w:r>
              <w:rPr>
                <w:rFonts w:ascii="Arial" w:cs="Arial" w:eastAsia="Arial" w:hAnsi="Arial"/>
                <w:sz w:val="13"/>
                <w:szCs w:val="13"/>
                <w:color w:val="auto"/>
              </w:rPr>
              <w:t>Compensation decisions for</w:t>
            </w:r>
          </w:p>
        </w:tc>
        <w:tc>
          <w:tcPr>
            <w:tcW w:w="680" w:type="dxa"/>
            <w:vAlign w:val="bottom"/>
            <w:tcBorders>
              <w:right w:val="single" w:sz="8" w:color="auto"/>
            </w:tcBorders>
          </w:tcPr>
          <w:p>
            <w:pPr>
              <w:spacing w:after="0"/>
              <w:rPr>
                <w:sz w:val="24"/>
                <w:szCs w:val="24"/>
                <w:color w:val="auto"/>
              </w:rPr>
            </w:pPr>
          </w:p>
        </w:tc>
        <w:tc>
          <w:tcPr>
            <w:tcW w:w="4960" w:type="dxa"/>
            <w:vAlign w:val="bottom"/>
          </w:tcPr>
          <w:p>
            <w:pPr>
              <w:ind w:left="100"/>
              <w:spacing w:after="0"/>
              <w:rPr>
                <w:sz w:val="20"/>
                <w:szCs w:val="20"/>
                <w:color w:val="auto"/>
              </w:rPr>
            </w:pPr>
            <w:r>
              <w:rPr>
                <w:rFonts w:ascii="Arial" w:cs="Arial" w:eastAsia="Arial" w:hAnsi="Arial"/>
                <w:sz w:val="13"/>
                <w:szCs w:val="13"/>
                <w:b w:val="1"/>
                <w:bCs w:val="1"/>
                <w:color w:val="auto"/>
              </w:rPr>
              <w:t xml:space="preserve">Limited Perquisites: </w:t>
            </w:r>
            <w:r>
              <w:rPr>
                <w:rFonts w:ascii="Arial" w:cs="Arial" w:eastAsia="Arial" w:hAnsi="Arial"/>
                <w:sz w:val="13"/>
                <w:szCs w:val="13"/>
                <w:color w:val="auto"/>
              </w:rPr>
              <w:t>We provide our named executive officers with only limited</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our NEOs are approved by a Compensation Committee composed of non-employee</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w w:val="97"/>
              </w:rPr>
              <w:t>perquisites and personal benefits that serve an important business purpose in addition</w:t>
            </w:r>
          </w:p>
        </w:tc>
      </w:tr>
      <w:tr>
        <w:trPr>
          <w:trHeight w:val="152"/>
        </w:trPr>
        <w:tc>
          <w:tcPr>
            <w:tcW w:w="520" w:type="dxa"/>
            <w:vAlign w:val="bottom"/>
            <w:tcBorders>
              <w:right w:val="single" w:sz="8" w:color="auto"/>
            </w:tcBorders>
          </w:tcPr>
          <w:p>
            <w:pPr>
              <w:spacing w:after="0"/>
              <w:rPr>
                <w:sz w:val="13"/>
                <w:szCs w:val="13"/>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independent directors. alignment.</w:t>
            </w:r>
          </w:p>
        </w:tc>
        <w:tc>
          <w:tcPr>
            <w:tcW w:w="680" w:type="dxa"/>
            <w:vAlign w:val="bottom"/>
            <w:tcBorders>
              <w:right w:val="single" w:sz="8" w:color="auto"/>
            </w:tcBorders>
          </w:tcPr>
          <w:p>
            <w:pPr>
              <w:spacing w:after="0"/>
              <w:rPr>
                <w:sz w:val="13"/>
                <w:szCs w:val="13"/>
                <w:color w:val="auto"/>
              </w:rPr>
            </w:pPr>
          </w:p>
        </w:tc>
        <w:tc>
          <w:tcPr>
            <w:tcW w:w="4960" w:type="dxa"/>
            <w:vAlign w:val="bottom"/>
          </w:tcPr>
          <w:p>
            <w:pPr>
              <w:ind w:left="100"/>
              <w:spacing w:after="0"/>
              <w:rPr>
                <w:sz w:val="20"/>
                <w:szCs w:val="20"/>
                <w:color w:val="auto"/>
              </w:rPr>
            </w:pPr>
            <w:r>
              <w:rPr>
                <w:rFonts w:ascii="Arial" w:cs="Arial" w:eastAsia="Arial" w:hAnsi="Arial"/>
                <w:sz w:val="13"/>
                <w:szCs w:val="13"/>
                <w:color w:val="auto"/>
              </w:rPr>
              <w:t>to the regular benefits offered to all employees.</w:t>
            </w:r>
          </w:p>
        </w:tc>
      </w:tr>
      <w:tr>
        <w:trPr>
          <w:trHeight w:val="314"/>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Our Compensation Committee is advised by an independent consultant who reports</w:t>
            </w:r>
          </w:p>
        </w:tc>
        <w:tc>
          <w:tcPr>
            <w:tcW w:w="680" w:type="dxa"/>
            <w:vAlign w:val="bottom"/>
            <w:tcBorders>
              <w:right w:val="single" w:sz="8" w:color="auto"/>
            </w:tcBorders>
          </w:tcPr>
          <w:p>
            <w:pPr>
              <w:spacing w:after="0"/>
              <w:rPr>
                <w:sz w:val="24"/>
                <w:szCs w:val="24"/>
                <w:color w:val="auto"/>
              </w:rPr>
            </w:pPr>
          </w:p>
        </w:tc>
        <w:tc>
          <w:tcPr>
            <w:tcW w:w="4960" w:type="dxa"/>
            <w:vAlign w:val="bottom"/>
          </w:tcPr>
          <w:p>
            <w:pPr>
              <w:ind w:left="100"/>
              <w:spacing w:after="0"/>
              <w:rPr>
                <w:sz w:val="20"/>
                <w:szCs w:val="20"/>
                <w:color w:val="auto"/>
              </w:rPr>
            </w:pPr>
            <w:r>
              <w:rPr>
                <w:rFonts w:ascii="Arial" w:cs="Arial" w:eastAsia="Arial" w:hAnsi="Arial"/>
                <w:sz w:val="13"/>
                <w:szCs w:val="13"/>
                <w:color w:val="auto"/>
              </w:rPr>
              <w:t>We consider the perquisites and personal benefits that we offer to our executives in</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directly to the Compensation Committee and provides no other services to the</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India to be customary benefits which allow us to remain competitive for top talent.</w:t>
            </w:r>
          </w:p>
        </w:tc>
      </w:tr>
      <w:tr>
        <w:trPr>
          <w:trHeight w:val="144"/>
        </w:trPr>
        <w:tc>
          <w:tcPr>
            <w:tcW w:w="520" w:type="dxa"/>
            <w:vAlign w:val="bottom"/>
            <w:tcBorders>
              <w:bottom w:val="single" w:sz="8" w:color="auto"/>
              <w:right w:val="single" w:sz="8" w:color="auto"/>
            </w:tcBorders>
          </w:tcPr>
          <w:p>
            <w:pPr>
              <w:spacing w:after="0"/>
              <w:rPr>
                <w:sz w:val="12"/>
                <w:szCs w:val="12"/>
                <w:color w:val="auto"/>
              </w:rPr>
            </w:pPr>
          </w:p>
        </w:tc>
        <w:tc>
          <w:tcPr>
            <w:tcW w:w="514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Company or management.</w:t>
            </w:r>
          </w:p>
        </w:tc>
        <w:tc>
          <w:tcPr>
            <w:tcW w:w="6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650"/>
        </w:trPr>
        <w:tc>
          <w:tcPr>
            <w:tcW w:w="5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640" w:type="dxa"/>
            <w:vAlign w:val="bottom"/>
            <w:gridSpan w:val="2"/>
          </w:tcPr>
          <w:p>
            <w:pPr>
              <w:jc w:val="right"/>
              <w:ind w:right="237"/>
              <w:spacing w:after="0"/>
              <w:rPr>
                <w:sz w:val="20"/>
                <w:szCs w:val="20"/>
                <w:color w:val="auto"/>
              </w:rPr>
            </w:pPr>
            <w:r>
              <w:rPr>
                <w:rFonts w:ascii="Arial" w:cs="Arial" w:eastAsia="Arial" w:hAnsi="Arial"/>
                <w:sz w:val="13"/>
                <w:szCs w:val="13"/>
                <w:color w:val="FFFFFE"/>
              </w:rPr>
              <w:t>67</w:t>
            </w:r>
          </w:p>
        </w:tc>
      </w:tr>
      <w:tr>
        <w:trPr>
          <w:trHeight w:val="414"/>
        </w:trPr>
        <w:tc>
          <w:tcPr>
            <w:tcW w:w="52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-12065</wp:posOffset>
            </wp:positionV>
            <wp:extent cx="1270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-4023360</wp:posOffset>
            </wp:positionV>
            <wp:extent cx="167005" cy="1670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7005" cy="16700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-4023360</wp:posOffset>
            </wp:positionV>
            <wp:extent cx="210185" cy="2101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0185" cy="21018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-3399790</wp:posOffset>
            </wp:positionV>
            <wp:extent cx="167005" cy="1670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67005" cy="16700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-3399790</wp:posOffset>
            </wp:positionV>
            <wp:extent cx="210185" cy="2101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0185" cy="21018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-2430145</wp:posOffset>
            </wp:positionV>
            <wp:extent cx="129540" cy="1174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9540" cy="11747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-2430145</wp:posOffset>
            </wp:positionV>
            <wp:extent cx="210185" cy="2101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0185" cy="21018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-1367790</wp:posOffset>
            </wp:positionV>
            <wp:extent cx="129540" cy="1174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9540" cy="11747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-1367790</wp:posOffset>
            </wp:positionV>
            <wp:extent cx="210185" cy="2101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0185" cy="21018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-496570</wp:posOffset>
            </wp:positionV>
            <wp:extent cx="1408430" cy="3333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8" w:name="page69"/>
    <w:bookmarkEnd w:id="6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20" w:type="dxa"/>
            <w:vAlign w:val="bottom"/>
            <w:tcBorders>
              <w:top w:val="single" w:sz="8" w:color="auto"/>
              <w:right w:val="single" w:sz="8" w:color="auto"/>
            </w:tcBorders>
          </w:tcPr>
          <w:p>
            <w:pPr>
              <w:spacing w:after="0"/>
              <w:rPr>
                <w:sz w:val="24"/>
                <w:szCs w:val="24"/>
                <w:color w:val="auto"/>
              </w:rPr>
            </w:pPr>
          </w:p>
        </w:tc>
        <w:tc>
          <w:tcPr>
            <w:tcW w:w="5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Mitigate Risks: </w:t>
            </w:r>
            <w:r>
              <w:rPr>
                <w:rFonts w:ascii="Arial" w:cs="Arial" w:eastAsia="Arial" w:hAnsi="Arial"/>
                <w:sz w:val="13"/>
                <w:szCs w:val="13"/>
                <w:color w:val="auto"/>
              </w:rPr>
              <w:t>The mix and design of our compensation programs serves to mitigate</w:t>
            </w:r>
          </w:p>
        </w:tc>
        <w:tc>
          <w:tcPr>
            <w:tcW w:w="680" w:type="dxa"/>
            <w:vAlign w:val="bottom"/>
            <w:tcBorders>
              <w:top w:val="single" w:sz="8" w:color="auto"/>
              <w:right w:val="single" w:sz="8" w:color="auto"/>
            </w:tcBorders>
          </w:tcPr>
          <w:p>
            <w:pPr>
              <w:spacing w:after="0"/>
              <w:rPr>
                <w:sz w:val="24"/>
                <w:szCs w:val="24"/>
                <w:color w:val="auto"/>
              </w:rPr>
            </w:pPr>
          </w:p>
        </w:tc>
        <w:tc>
          <w:tcPr>
            <w:tcW w:w="496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No Tax Gross-Ups: </w:t>
            </w:r>
            <w:r>
              <w:rPr>
                <w:rFonts w:ascii="Arial" w:cs="Arial" w:eastAsia="Arial" w:hAnsi="Arial"/>
                <w:sz w:val="13"/>
                <w:szCs w:val="13"/>
                <w:color w:val="auto"/>
              </w:rPr>
              <w:t>We do not provide "gross-ups" to any of our named executive</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operational, financial, legal, regulatory, strategic and reputational risks.</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officers, including gross-ups for any excise taxes imposed with respect to</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Section 280G (change-in-control payments) or Section 409A (nonqualified deferred</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compensation) of the U.S. Internal Revenue Code of 1986, as amended (which we</w:t>
            </w:r>
          </w:p>
        </w:tc>
      </w:tr>
      <w:tr>
        <w:trPr>
          <w:trHeight w:val="144"/>
        </w:trPr>
        <w:tc>
          <w:tcPr>
            <w:tcW w:w="520" w:type="dxa"/>
            <w:vAlign w:val="bottom"/>
            <w:tcBorders>
              <w:bottom w:val="single" w:sz="8" w:color="auto"/>
              <w:right w:val="single" w:sz="8" w:color="auto"/>
            </w:tcBorders>
          </w:tcPr>
          <w:p>
            <w:pPr>
              <w:spacing w:after="0"/>
              <w:rPr>
                <w:sz w:val="12"/>
                <w:szCs w:val="12"/>
                <w:color w:val="auto"/>
              </w:rPr>
            </w:pPr>
          </w:p>
        </w:tc>
        <w:tc>
          <w:tcPr>
            <w:tcW w:w="51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tcBorders>
          </w:tcPr>
          <w:p>
            <w:pPr>
              <w:ind w:left="100"/>
              <w:spacing w:after="0" w:line="144" w:lineRule="exact"/>
              <w:rPr>
                <w:sz w:val="20"/>
                <w:szCs w:val="20"/>
                <w:color w:val="auto"/>
              </w:rPr>
            </w:pPr>
            <w:r>
              <w:rPr>
                <w:rFonts w:ascii="Arial" w:cs="Arial" w:eastAsia="Arial" w:hAnsi="Arial"/>
                <w:sz w:val="13"/>
                <w:szCs w:val="13"/>
                <w:color w:val="auto"/>
              </w:rPr>
              <w:t>refer to as the "Code").</w:t>
            </w:r>
          </w:p>
        </w:tc>
      </w:tr>
      <w:tr>
        <w:trPr>
          <w:trHeight w:val="313"/>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Maintain a Clawback Policy: </w:t>
            </w:r>
            <w:r>
              <w:rPr>
                <w:rFonts w:ascii="Arial" w:cs="Arial" w:eastAsia="Arial" w:hAnsi="Arial"/>
                <w:sz w:val="13"/>
                <w:szCs w:val="13"/>
                <w:color w:val="auto"/>
              </w:rPr>
              <w:t>We maintain a compensation recovery policy that</w:t>
            </w:r>
          </w:p>
        </w:tc>
        <w:tc>
          <w:tcPr>
            <w:tcW w:w="680" w:type="dxa"/>
            <w:vAlign w:val="bottom"/>
            <w:tcBorders>
              <w:right w:val="single" w:sz="8" w:color="auto"/>
            </w:tcBorders>
          </w:tcPr>
          <w:p>
            <w:pPr>
              <w:spacing w:after="0"/>
              <w:rPr>
                <w:sz w:val="24"/>
                <w:szCs w:val="24"/>
                <w:color w:val="auto"/>
              </w:rPr>
            </w:pPr>
          </w:p>
        </w:tc>
        <w:tc>
          <w:tcPr>
            <w:tcW w:w="4960" w:type="dxa"/>
            <w:vAlign w:val="bottom"/>
          </w:tcPr>
          <w:p>
            <w:pPr>
              <w:ind w:left="100"/>
              <w:spacing w:after="0"/>
              <w:rPr>
                <w:sz w:val="20"/>
                <w:szCs w:val="20"/>
                <w:color w:val="auto"/>
              </w:rPr>
            </w:pPr>
            <w:r>
              <w:rPr>
                <w:rFonts w:ascii="Arial" w:cs="Arial" w:eastAsia="Arial" w:hAnsi="Arial"/>
                <w:sz w:val="13"/>
                <w:szCs w:val="13"/>
                <w:b w:val="1"/>
                <w:bCs w:val="1"/>
                <w:color w:val="auto"/>
                <w:w w:val="98"/>
              </w:rPr>
              <w:t xml:space="preserve">No Hedging: </w:t>
            </w:r>
            <w:r>
              <w:rPr>
                <w:rFonts w:ascii="Arial" w:cs="Arial" w:eastAsia="Arial" w:hAnsi="Arial"/>
                <w:sz w:val="13"/>
                <w:szCs w:val="13"/>
                <w:color w:val="auto"/>
                <w:w w:val="98"/>
              </w:rPr>
              <w:t>We maintain a policy in which the following persons are prohibited from</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allows the Company to recover compensation (including cash and/or equity awards)</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engaging in hedging transactions involving our shares and other securities: our</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previously paid to one or more officers in the event of a financial restatement caused</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directors and their secretaries and other assistants; our executive officers and their</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by noncompliance with reporting requirements that impacts the applicable</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secretaries and other assistants; our employees in the accounting, finance and legal</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performance metric if, in the opinion of our board of directors or Compensation</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departments; the members and permanent invitees of our operating and executive</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Committee, the identified executive's misconduct was a material factor causing the</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committees; and all of our vice president level 2 and 3 officers (whom we refer to</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restatement.</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w w:val="97"/>
              </w:rPr>
              <w:t>collectively as "Reporting Persons"). For this purpose, "hedging" refers to any strategy</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to offset or reduce the risk of price fluctuations in our shares or other securities or to</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protect, in whole or in part, against declines in the value of our shares or other</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w w:val="97"/>
              </w:rPr>
              <w:t>securities. This prohibition thus applies to all transactions in derivative securities based</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on our stock such as other securities, including puts, calls, swaps and collar</w:t>
            </w:r>
          </w:p>
        </w:tc>
      </w:tr>
      <w:tr>
        <w:trPr>
          <w:trHeight w:val="144"/>
        </w:trPr>
        <w:tc>
          <w:tcPr>
            <w:tcW w:w="520" w:type="dxa"/>
            <w:vAlign w:val="bottom"/>
            <w:tcBorders>
              <w:bottom w:val="single" w:sz="8" w:color="auto"/>
              <w:right w:val="single" w:sz="8" w:color="auto"/>
            </w:tcBorders>
          </w:tcPr>
          <w:p>
            <w:pPr>
              <w:spacing w:after="0"/>
              <w:rPr>
                <w:sz w:val="12"/>
                <w:szCs w:val="12"/>
                <w:color w:val="auto"/>
              </w:rPr>
            </w:pPr>
          </w:p>
        </w:tc>
        <w:tc>
          <w:tcPr>
            <w:tcW w:w="51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tcBorders>
          </w:tcPr>
          <w:p>
            <w:pPr>
              <w:ind w:left="100"/>
              <w:spacing w:after="0" w:line="144" w:lineRule="exact"/>
              <w:rPr>
                <w:sz w:val="20"/>
                <w:szCs w:val="20"/>
                <w:color w:val="auto"/>
              </w:rPr>
            </w:pPr>
            <w:r>
              <w:rPr>
                <w:rFonts w:ascii="Arial" w:cs="Arial" w:eastAsia="Arial" w:hAnsi="Arial"/>
                <w:sz w:val="13"/>
                <w:szCs w:val="13"/>
                <w:color w:val="auto"/>
              </w:rPr>
              <w:t>arrangements.</w:t>
            </w:r>
          </w:p>
        </w:tc>
      </w:tr>
      <w:tr>
        <w:trPr>
          <w:trHeight w:val="313"/>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Maintain a Robust Stock Ownership Policy: </w:t>
            </w:r>
            <w:r>
              <w:rPr>
                <w:rFonts w:ascii="Arial" w:cs="Arial" w:eastAsia="Arial" w:hAnsi="Arial"/>
                <w:sz w:val="13"/>
                <w:szCs w:val="13"/>
                <w:color w:val="auto"/>
              </w:rPr>
              <w:t>We maintain a stock ownership policy</w:t>
            </w:r>
          </w:p>
        </w:tc>
        <w:tc>
          <w:tcPr>
            <w:tcW w:w="680" w:type="dxa"/>
            <w:vAlign w:val="bottom"/>
            <w:tcBorders>
              <w:right w:val="single" w:sz="8" w:color="auto"/>
            </w:tcBorders>
          </w:tcPr>
          <w:p>
            <w:pPr>
              <w:spacing w:after="0"/>
              <w:rPr>
                <w:sz w:val="24"/>
                <w:szCs w:val="24"/>
                <w:color w:val="auto"/>
              </w:rPr>
            </w:pPr>
          </w:p>
        </w:tc>
        <w:tc>
          <w:tcPr>
            <w:tcW w:w="4960" w:type="dxa"/>
            <w:vAlign w:val="bottom"/>
          </w:tcPr>
          <w:p>
            <w:pPr>
              <w:ind w:left="100"/>
              <w:spacing w:after="0"/>
              <w:rPr>
                <w:sz w:val="20"/>
                <w:szCs w:val="20"/>
                <w:color w:val="auto"/>
              </w:rPr>
            </w:pPr>
            <w:r>
              <w:rPr>
                <w:rFonts w:ascii="Arial" w:cs="Arial" w:eastAsia="Arial" w:hAnsi="Arial"/>
                <w:sz w:val="13"/>
                <w:szCs w:val="13"/>
                <w:b w:val="1"/>
                <w:bCs w:val="1"/>
                <w:color w:val="auto"/>
              </w:rPr>
              <w:t xml:space="preserve">No Pledging: </w:t>
            </w:r>
            <w:r>
              <w:rPr>
                <w:rFonts w:ascii="Arial" w:cs="Arial" w:eastAsia="Arial" w:hAnsi="Arial"/>
                <w:sz w:val="13"/>
                <w:szCs w:val="13"/>
                <w:color w:val="auto"/>
              </w:rPr>
              <w:t>Under our policy mentioned above, Reporting Persons (as defined</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that requires our CEO to maintain aggregate stock ownership equal to at least six</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w w:val="98"/>
              </w:rPr>
              <w:t>above) are only permitted to pledge shares of our stock that exceed those required to</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times his base salary and vested stock ownership equal to at least three times his</w:t>
            </w:r>
          </w:p>
        </w:tc>
        <w:tc>
          <w:tcPr>
            <w:tcW w:w="680" w:type="dxa"/>
            <w:vAlign w:val="bottom"/>
            <w:tcBorders>
              <w:right w:val="single" w:sz="8" w:color="auto"/>
            </w:tcBorders>
          </w:tcPr>
          <w:p>
            <w:pPr>
              <w:spacing w:after="0"/>
              <w:rPr>
                <w:sz w:val="12"/>
                <w:szCs w:val="12"/>
                <w:color w:val="auto"/>
              </w:rPr>
            </w:pPr>
          </w:p>
        </w:tc>
        <w:tc>
          <w:tcPr>
            <w:tcW w:w="4960" w:type="dxa"/>
            <w:vAlign w:val="bottom"/>
          </w:tcPr>
          <w:p>
            <w:pPr>
              <w:ind w:left="100"/>
              <w:spacing w:after="0" w:line="146" w:lineRule="exact"/>
              <w:rPr>
                <w:sz w:val="20"/>
                <w:szCs w:val="20"/>
                <w:color w:val="auto"/>
              </w:rPr>
            </w:pPr>
            <w:r>
              <w:rPr>
                <w:rFonts w:ascii="Arial" w:cs="Arial" w:eastAsia="Arial" w:hAnsi="Arial"/>
                <w:sz w:val="13"/>
                <w:szCs w:val="13"/>
                <w:color w:val="auto"/>
              </w:rPr>
              <w:t>be owned under our Stock Ownership Policy described above.</w:t>
            </w: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base salary, and that requires the other members of our executive committee to</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maintain aggregate stock ownership of at least two times their respective base</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salaries, and vested stock ownership at least equal their respective base salaries.</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Covered executives have five years from their hire date to attain the required stock</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52"/>
        </w:trPr>
        <w:tc>
          <w:tcPr>
            <w:tcW w:w="520" w:type="dxa"/>
            <w:vAlign w:val="bottom"/>
            <w:tcBorders>
              <w:right w:val="single" w:sz="8" w:color="auto"/>
            </w:tcBorders>
          </w:tcPr>
          <w:p>
            <w:pPr>
              <w:spacing w:after="0"/>
              <w:rPr>
                <w:sz w:val="13"/>
                <w:szCs w:val="13"/>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ownership levels and three years to attain the vested stock ownership requirements.</w:t>
            </w:r>
          </w:p>
        </w:tc>
        <w:tc>
          <w:tcPr>
            <w:tcW w:w="680" w:type="dxa"/>
            <w:vAlign w:val="bottom"/>
            <w:tcBorders>
              <w:right w:val="single" w:sz="8" w:color="auto"/>
            </w:tcBorders>
          </w:tcPr>
          <w:p>
            <w:pPr>
              <w:spacing w:after="0"/>
              <w:rPr>
                <w:sz w:val="13"/>
                <w:szCs w:val="13"/>
                <w:color w:val="auto"/>
              </w:rPr>
            </w:pPr>
          </w:p>
        </w:tc>
        <w:tc>
          <w:tcPr>
            <w:tcW w:w="4960" w:type="dxa"/>
            <w:vAlign w:val="bottom"/>
          </w:tcPr>
          <w:p>
            <w:pPr>
              <w:spacing w:after="0"/>
              <w:rPr>
                <w:sz w:val="13"/>
                <w:szCs w:val="13"/>
                <w:color w:val="auto"/>
              </w:rPr>
            </w:pPr>
          </w:p>
        </w:tc>
      </w:tr>
      <w:tr>
        <w:trPr>
          <w:trHeight w:val="314"/>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We maintain a similar stock ownership policy for our non-employee directors that</w:t>
            </w:r>
          </w:p>
        </w:tc>
        <w:tc>
          <w:tcPr>
            <w:tcW w:w="680" w:type="dxa"/>
            <w:vAlign w:val="bottom"/>
            <w:tcBorders>
              <w:right w:val="single" w:sz="8" w:color="auto"/>
            </w:tcBorders>
          </w:tcPr>
          <w:p>
            <w:pPr>
              <w:spacing w:after="0"/>
              <w:rPr>
                <w:sz w:val="24"/>
                <w:szCs w:val="24"/>
                <w:color w:val="auto"/>
              </w:rPr>
            </w:pPr>
          </w:p>
        </w:tc>
        <w:tc>
          <w:tcPr>
            <w:tcW w:w="4960" w:type="dxa"/>
            <w:vAlign w:val="bottom"/>
          </w:tcPr>
          <w:p>
            <w:pPr>
              <w:spacing w:after="0"/>
              <w:rPr>
                <w:sz w:val="24"/>
                <w:szCs w:val="24"/>
                <w:color w:val="auto"/>
              </w:rPr>
            </w:pP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requires directors to maintain stock ownership of at least five times their respective</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46"/>
        </w:trPr>
        <w:tc>
          <w:tcPr>
            <w:tcW w:w="520" w:type="dxa"/>
            <w:vAlign w:val="bottom"/>
            <w:tcBorders>
              <w:right w:val="single" w:sz="8" w:color="auto"/>
            </w:tcBorders>
          </w:tcPr>
          <w:p>
            <w:pPr>
              <w:spacing w:after="0"/>
              <w:rPr>
                <w:sz w:val="12"/>
                <w:szCs w:val="12"/>
                <w:color w:val="auto"/>
              </w:rPr>
            </w:pPr>
          </w:p>
        </w:tc>
        <w:tc>
          <w:tcPr>
            <w:tcW w:w="51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annual retainers. Directors have five years from their appointment date to attain the</w:t>
            </w:r>
          </w:p>
        </w:tc>
        <w:tc>
          <w:tcPr>
            <w:tcW w:w="680" w:type="dxa"/>
            <w:vAlign w:val="bottom"/>
            <w:tcBorders>
              <w:right w:val="single" w:sz="8" w:color="auto"/>
            </w:tcBorders>
          </w:tcPr>
          <w:p>
            <w:pPr>
              <w:spacing w:after="0"/>
              <w:rPr>
                <w:sz w:val="12"/>
                <w:szCs w:val="12"/>
                <w:color w:val="auto"/>
              </w:rPr>
            </w:pPr>
          </w:p>
        </w:tc>
        <w:tc>
          <w:tcPr>
            <w:tcW w:w="4960" w:type="dxa"/>
            <w:vAlign w:val="bottom"/>
          </w:tcPr>
          <w:p>
            <w:pPr>
              <w:spacing w:after="0"/>
              <w:rPr>
                <w:sz w:val="12"/>
                <w:szCs w:val="12"/>
                <w:color w:val="auto"/>
              </w:rPr>
            </w:pPr>
          </w:p>
        </w:tc>
      </w:tr>
      <w:tr>
        <w:trPr>
          <w:trHeight w:val="152"/>
        </w:trPr>
        <w:tc>
          <w:tcPr>
            <w:tcW w:w="520" w:type="dxa"/>
            <w:vAlign w:val="bottom"/>
            <w:tcBorders>
              <w:right w:val="single" w:sz="8" w:color="auto"/>
            </w:tcBorders>
          </w:tcPr>
          <w:p>
            <w:pPr>
              <w:spacing w:after="0"/>
              <w:rPr>
                <w:sz w:val="13"/>
                <w:szCs w:val="13"/>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required stock ownership levels.</w:t>
            </w:r>
          </w:p>
        </w:tc>
        <w:tc>
          <w:tcPr>
            <w:tcW w:w="680" w:type="dxa"/>
            <w:vAlign w:val="bottom"/>
            <w:tcBorders>
              <w:right w:val="single" w:sz="8" w:color="auto"/>
            </w:tcBorders>
          </w:tcPr>
          <w:p>
            <w:pPr>
              <w:spacing w:after="0"/>
              <w:rPr>
                <w:sz w:val="13"/>
                <w:szCs w:val="13"/>
                <w:color w:val="auto"/>
              </w:rPr>
            </w:pPr>
          </w:p>
        </w:tc>
        <w:tc>
          <w:tcPr>
            <w:tcW w:w="4960" w:type="dxa"/>
            <w:vAlign w:val="bottom"/>
          </w:tcPr>
          <w:p>
            <w:pPr>
              <w:spacing w:after="0"/>
              <w:rPr>
                <w:sz w:val="13"/>
                <w:szCs w:val="13"/>
                <w:color w:val="auto"/>
              </w:rPr>
            </w:pPr>
          </w:p>
        </w:tc>
      </w:tr>
      <w:tr>
        <w:trPr>
          <w:trHeight w:val="314"/>
        </w:trPr>
        <w:tc>
          <w:tcPr>
            <w:tcW w:w="520" w:type="dxa"/>
            <w:vAlign w:val="bottom"/>
            <w:tcBorders>
              <w:right w:val="single" w:sz="8" w:color="auto"/>
            </w:tcBorders>
          </w:tcPr>
          <w:p>
            <w:pPr>
              <w:spacing w:after="0"/>
              <w:rPr>
                <w:sz w:val="24"/>
                <w:szCs w:val="24"/>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As of December 31, 2020, all covered executives and directors were in compliance</w:t>
            </w:r>
          </w:p>
        </w:tc>
        <w:tc>
          <w:tcPr>
            <w:tcW w:w="680" w:type="dxa"/>
            <w:vAlign w:val="bottom"/>
            <w:tcBorders>
              <w:right w:val="single" w:sz="8" w:color="auto"/>
            </w:tcBorders>
          </w:tcPr>
          <w:p>
            <w:pPr>
              <w:spacing w:after="0"/>
              <w:rPr>
                <w:sz w:val="24"/>
                <w:szCs w:val="24"/>
                <w:color w:val="auto"/>
              </w:rPr>
            </w:pPr>
          </w:p>
        </w:tc>
        <w:tc>
          <w:tcPr>
            <w:tcW w:w="4960" w:type="dxa"/>
            <w:vAlign w:val="bottom"/>
          </w:tcPr>
          <w:p>
            <w:pPr>
              <w:spacing w:after="0"/>
              <w:rPr>
                <w:sz w:val="24"/>
                <w:szCs w:val="24"/>
                <w:color w:val="auto"/>
              </w:rPr>
            </w:pPr>
          </w:p>
        </w:tc>
      </w:tr>
      <w:tr>
        <w:trPr>
          <w:trHeight w:val="144"/>
        </w:trPr>
        <w:tc>
          <w:tcPr>
            <w:tcW w:w="520" w:type="dxa"/>
            <w:vAlign w:val="bottom"/>
            <w:tcBorders>
              <w:bottom w:val="single" w:sz="8" w:color="auto"/>
              <w:right w:val="single" w:sz="8" w:color="auto"/>
            </w:tcBorders>
          </w:tcPr>
          <w:p>
            <w:pPr>
              <w:spacing w:after="0"/>
              <w:rPr>
                <w:sz w:val="12"/>
                <w:szCs w:val="12"/>
                <w:color w:val="auto"/>
              </w:rPr>
            </w:pPr>
          </w:p>
        </w:tc>
        <w:tc>
          <w:tcPr>
            <w:tcW w:w="514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with the stock ownership policy.</w:t>
            </w:r>
          </w:p>
        </w:tc>
        <w:tc>
          <w:tcPr>
            <w:tcW w:w="680" w:type="dxa"/>
            <w:vAlign w:val="bottom"/>
            <w:tcBorders>
              <w:bottom w:val="single" w:sz="8" w:color="auto"/>
              <w:right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-3334385</wp:posOffset>
            </wp:positionV>
            <wp:extent cx="129540" cy="1174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9540" cy="11747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-3334385</wp:posOffset>
            </wp:positionV>
            <wp:extent cx="210185" cy="2101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0185" cy="21018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-2753995</wp:posOffset>
            </wp:positionV>
            <wp:extent cx="129540" cy="1174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9540" cy="11747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-2753995</wp:posOffset>
            </wp:positionV>
            <wp:extent cx="210185" cy="2101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0185" cy="21018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-1524635</wp:posOffset>
            </wp:positionV>
            <wp:extent cx="129540" cy="1174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9540" cy="117475"/>
                    </a:xfrm>
                    <a:prstGeom prst="rect">
                      <a:avLst/>
                    </a:prstGeom>
                    <a:noFill/>
                  </pic:spPr>
                </pic:pic>
              </a:graphicData>
            </a:graphic>
          </wp:anchor>
        </w:drawing>
        <w:drawing>
          <wp:anchor simplePos="0" relativeHeight="251657728" behindDoc="1" locked="0" layoutInCell="0" allowOverlap="1">
            <wp:simplePos x="0" y="0"/>
            <wp:positionH relativeFrom="column">
              <wp:posOffset>3679825</wp:posOffset>
            </wp:positionH>
            <wp:positionV relativeFrom="paragraph">
              <wp:posOffset>-1524635</wp:posOffset>
            </wp:positionV>
            <wp:extent cx="210185" cy="2101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0185" cy="2101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197485</wp:posOffset>
            </wp:positionV>
            <wp:extent cx="1408430" cy="3333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69" w:name="page70"/>
    <w:bookmarkEnd w:id="6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Overview of Compensation Policies and Philosophies</w:t>
      </w:r>
    </w:p>
    <w:p>
      <w:pPr>
        <w:spacing w:after="0" w:line="168"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We believe that our long-term success is linked to our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Our Compensation Committee bases its executive compensation programs on the following objectives, which guide us in establishing all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95250</wp:posOffset>
            </wp:positionV>
            <wp:extent cx="6083935" cy="3446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83935"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0" w:name="page71"/>
    <w:bookmarkEnd w:id="7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Compensation Process: Roles and Responsibilities</w:t>
      </w:r>
    </w:p>
    <w:p>
      <w:pPr>
        <w:spacing w:after="0" w:line="168" w:lineRule="exact"/>
        <w:rPr>
          <w:sz w:val="20"/>
          <w:szCs w:val="20"/>
          <w:color w:val="auto"/>
        </w:rPr>
      </w:pPr>
    </w:p>
    <w:p>
      <w:pPr>
        <w:ind w:right="200"/>
        <w:spacing w:after="0" w:line="239" w:lineRule="auto"/>
        <w:rPr>
          <w:sz w:val="20"/>
          <w:szCs w:val="20"/>
          <w:color w:val="auto"/>
        </w:rPr>
      </w:pPr>
      <w:r>
        <w:rPr>
          <w:rFonts w:ascii="Arial" w:cs="Arial" w:eastAsia="Arial" w:hAnsi="Arial"/>
          <w:sz w:val="13"/>
          <w:szCs w:val="13"/>
          <w:color w:val="auto"/>
        </w:rPr>
        <w:t>Our Compensation Committee has established a number of processes to assist it in ensuring that our executive compensation programs are achieving their objectives. Our Compensation Committee, our management and our independent compensation consultant are each engaged in these processes, as described in greater detail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Borders>
              <w:top w:val="single" w:sz="8" w:color="479EFF"/>
              <w:right w:val="single" w:sz="8" w:color="auto"/>
            </w:tcBorders>
            <w:gridSpan w:val="2"/>
          </w:tcPr>
          <w:p>
            <w:pPr>
              <w:spacing w:after="0"/>
              <w:rPr>
                <w:sz w:val="20"/>
                <w:szCs w:val="20"/>
                <w:color w:val="auto"/>
              </w:rPr>
            </w:pPr>
            <w:r>
              <w:rPr>
                <w:rFonts w:ascii="Arial" w:cs="Arial" w:eastAsia="Arial" w:hAnsi="Arial"/>
                <w:sz w:val="13"/>
                <w:szCs w:val="13"/>
                <w:b w:val="1"/>
                <w:bCs w:val="1"/>
                <w:color w:val="auto"/>
              </w:rPr>
              <w:t>Company Performance —</w:t>
            </w:r>
          </w:p>
        </w:tc>
        <w:tc>
          <w:tcPr>
            <w:tcW w:w="9100" w:type="dxa"/>
            <w:vAlign w:val="bottom"/>
            <w:tcBorders>
              <w:top w:val="single" w:sz="8" w:color="479EFF"/>
            </w:tcBorders>
          </w:tcPr>
          <w:p>
            <w:pPr>
              <w:ind w:left="120"/>
              <w:spacing w:after="0"/>
              <w:rPr>
                <w:sz w:val="20"/>
                <w:szCs w:val="20"/>
                <w:color w:val="auto"/>
              </w:rPr>
            </w:pPr>
            <w:r>
              <w:rPr>
                <w:rFonts w:ascii="Arial" w:cs="Arial" w:eastAsia="Arial" w:hAnsi="Arial"/>
                <w:sz w:val="13"/>
                <w:szCs w:val="13"/>
                <w:b w:val="1"/>
                <w:bCs w:val="1"/>
                <w:color w:val="auto"/>
              </w:rPr>
              <w:t>Establishment of Performance Measures</w:t>
            </w:r>
          </w:p>
        </w:tc>
      </w:tr>
      <w:tr>
        <w:trPr>
          <w:trHeight w:val="162"/>
        </w:trPr>
        <w:tc>
          <w:tcPr>
            <w:tcW w:w="220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Compensation Committee</w:t>
            </w:r>
          </w:p>
        </w:tc>
        <w:tc>
          <w:tcPr>
            <w:tcW w:w="9100" w:type="dxa"/>
            <w:vAlign w:val="bottom"/>
          </w:tcPr>
          <w:p>
            <w:pPr>
              <w:ind w:left="120"/>
              <w:spacing w:after="0"/>
              <w:rPr>
                <w:sz w:val="20"/>
                <w:szCs w:val="20"/>
                <w:color w:val="auto"/>
              </w:rPr>
            </w:pPr>
            <w:r>
              <w:rPr>
                <w:rFonts w:ascii="Arial" w:cs="Arial" w:eastAsia="Arial" w:hAnsi="Arial"/>
                <w:sz w:val="13"/>
                <w:szCs w:val="13"/>
                <w:color w:val="auto"/>
                <w:w w:val="97"/>
              </w:rPr>
              <w:t>At the beginning of each year, or the end of the prior year, our Compensation Committee establishes the Company-wide and relevant business line performance</w:t>
            </w:r>
          </w:p>
        </w:tc>
      </w:tr>
      <w:tr>
        <w:trPr>
          <w:trHeight w:val="146"/>
        </w:trPr>
        <w:tc>
          <w:tcPr>
            <w:tcW w:w="20" w:type="dxa"/>
            <w:vAlign w:val="bottom"/>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9100" w:type="dxa"/>
            <w:vAlign w:val="bottom"/>
          </w:tcPr>
          <w:p>
            <w:pPr>
              <w:ind w:left="120"/>
              <w:spacing w:after="0" w:line="146" w:lineRule="exact"/>
              <w:rPr>
                <w:sz w:val="20"/>
                <w:szCs w:val="20"/>
                <w:color w:val="auto"/>
              </w:rPr>
            </w:pPr>
            <w:r>
              <w:rPr>
                <w:rFonts w:ascii="Arial" w:cs="Arial" w:eastAsia="Arial" w:hAnsi="Arial"/>
                <w:sz w:val="13"/>
                <w:szCs w:val="13"/>
                <w:color w:val="auto"/>
                <w:w w:val="98"/>
              </w:rPr>
              <w:t>measures on which our named executive officers' annual incentive bonuses and equity incentive awards are largely based. These measures reflect targets that</w:t>
            </w:r>
          </w:p>
        </w:tc>
      </w:tr>
      <w:tr>
        <w:trPr>
          <w:trHeight w:val="152"/>
        </w:trPr>
        <w:tc>
          <w:tcPr>
            <w:tcW w:w="20" w:type="dxa"/>
            <w:vAlign w:val="bottom"/>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9100" w:type="dxa"/>
            <w:vAlign w:val="bottom"/>
          </w:tcPr>
          <w:p>
            <w:pPr>
              <w:ind w:left="120"/>
              <w:spacing w:after="0"/>
              <w:rPr>
                <w:sz w:val="20"/>
                <w:szCs w:val="20"/>
                <w:color w:val="auto"/>
              </w:rPr>
            </w:pPr>
            <w:r>
              <w:rPr>
                <w:rFonts w:ascii="Arial" w:cs="Arial" w:eastAsia="Arial" w:hAnsi="Arial"/>
                <w:sz w:val="13"/>
                <w:szCs w:val="13"/>
                <w:color w:val="auto"/>
              </w:rPr>
              <w:t>are intended to encourage stretch performance.</w:t>
            </w:r>
          </w:p>
        </w:tc>
      </w:tr>
      <w:tr>
        <w:trPr>
          <w:trHeight w:val="302"/>
        </w:trPr>
        <w:tc>
          <w:tcPr>
            <w:tcW w:w="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100" w:type="dxa"/>
            <w:vAlign w:val="bottom"/>
          </w:tcPr>
          <w:p>
            <w:pPr>
              <w:ind w:left="120"/>
              <w:spacing w:after="0"/>
              <w:rPr>
                <w:sz w:val="20"/>
                <w:szCs w:val="20"/>
                <w:color w:val="auto"/>
              </w:rPr>
            </w:pPr>
            <w:r>
              <w:rPr>
                <w:rFonts w:ascii="Arial" w:cs="Arial" w:eastAsia="Arial" w:hAnsi="Arial"/>
                <w:sz w:val="13"/>
                <w:szCs w:val="13"/>
                <w:b w:val="1"/>
                <w:bCs w:val="1"/>
                <w:color w:val="auto"/>
              </w:rPr>
              <w:t>Assessment of Company Performance</w:t>
            </w:r>
          </w:p>
        </w:tc>
      </w:tr>
      <w:tr>
        <w:trPr>
          <w:trHeight w:val="295"/>
        </w:trPr>
        <w:tc>
          <w:tcPr>
            <w:tcW w:w="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100" w:type="dxa"/>
            <w:vAlign w:val="bottom"/>
          </w:tcPr>
          <w:p>
            <w:pPr>
              <w:ind w:left="120"/>
              <w:spacing w:after="0"/>
              <w:rPr>
                <w:sz w:val="20"/>
                <w:szCs w:val="20"/>
                <w:color w:val="auto"/>
              </w:rPr>
            </w:pPr>
            <w:r>
              <w:rPr>
                <w:rFonts w:ascii="Arial" w:cs="Arial" w:eastAsia="Arial" w:hAnsi="Arial"/>
                <w:sz w:val="13"/>
                <w:szCs w:val="13"/>
                <w:color w:val="auto"/>
              </w:rPr>
              <w:t>At the end of the performance period, the Compensation Committee reviews and certifies our performance achievement in relation to the pre-established</w:t>
            </w:r>
          </w:p>
        </w:tc>
      </w:tr>
      <w:tr>
        <w:trPr>
          <w:trHeight w:val="144"/>
        </w:trPr>
        <w:tc>
          <w:tcPr>
            <w:tcW w:w="20" w:type="dxa"/>
            <w:vAlign w:val="bottom"/>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910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color w:val="auto"/>
              </w:rPr>
              <w:t>targets, and considers the appropriateness of adjustments to the performance criteria and calculations of performance achievement.</w:t>
            </w:r>
          </w:p>
        </w:tc>
      </w:tr>
      <w:tr>
        <w:trPr>
          <w:trHeight w:val="122"/>
        </w:trPr>
        <w:tc>
          <w:tcPr>
            <w:tcW w:w="20" w:type="dxa"/>
            <w:vAlign w:val="bottom"/>
          </w:tcPr>
          <w:p>
            <w:pPr>
              <w:spacing w:after="0"/>
              <w:rPr>
                <w:sz w:val="10"/>
                <w:szCs w:val="10"/>
                <w:color w:val="auto"/>
              </w:rPr>
            </w:pPr>
          </w:p>
        </w:tc>
        <w:tc>
          <w:tcPr>
            <w:tcW w:w="2180" w:type="dxa"/>
            <w:vAlign w:val="bottom"/>
            <w:tcBorders>
              <w:right w:val="single" w:sz="8" w:color="auto"/>
            </w:tcBorders>
          </w:tcPr>
          <w:p>
            <w:pPr>
              <w:spacing w:after="0" w:line="122" w:lineRule="exact"/>
              <w:rPr>
                <w:sz w:val="20"/>
                <w:szCs w:val="20"/>
                <w:color w:val="auto"/>
              </w:rPr>
            </w:pPr>
            <w:r>
              <w:rPr>
                <w:rFonts w:ascii="Arial" w:cs="Arial" w:eastAsia="Arial" w:hAnsi="Arial"/>
                <w:sz w:val="13"/>
                <w:szCs w:val="13"/>
                <w:b w:val="1"/>
                <w:bCs w:val="1"/>
                <w:color w:val="auto"/>
              </w:rPr>
              <w:t>Individual Performance —</w:t>
            </w:r>
          </w:p>
        </w:tc>
        <w:tc>
          <w:tcPr>
            <w:tcW w:w="9100" w:type="dxa"/>
            <w:vAlign w:val="bottom"/>
          </w:tcPr>
          <w:p>
            <w:pPr>
              <w:ind w:left="120"/>
              <w:spacing w:after="0" w:line="122" w:lineRule="exact"/>
              <w:rPr>
                <w:sz w:val="20"/>
                <w:szCs w:val="20"/>
                <w:color w:val="auto"/>
              </w:rPr>
            </w:pPr>
            <w:r>
              <w:rPr>
                <w:rFonts w:ascii="Arial" w:cs="Arial" w:eastAsia="Arial" w:hAnsi="Arial"/>
                <w:sz w:val="13"/>
                <w:szCs w:val="13"/>
                <w:color w:val="auto"/>
                <w:w w:val="98"/>
              </w:rPr>
              <w:t>The evaluation of an individual's performance determines a portion of the payouts under our incentive bonus program and also influences any changes in base</w:t>
            </w:r>
          </w:p>
        </w:tc>
      </w:tr>
      <w:tr>
        <w:trPr>
          <w:trHeight w:val="146"/>
        </w:trPr>
        <w:tc>
          <w:tcPr>
            <w:tcW w:w="2200" w:type="dxa"/>
            <w:vAlign w:val="bottom"/>
            <w:tcBorders>
              <w:right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rPr>
              <w:t>Board of Directors,</w:t>
            </w:r>
          </w:p>
        </w:tc>
        <w:tc>
          <w:tcPr>
            <w:tcW w:w="9100" w:type="dxa"/>
            <w:vAlign w:val="bottom"/>
          </w:tcPr>
          <w:p>
            <w:pPr>
              <w:ind w:left="120"/>
              <w:spacing w:after="0" w:line="146" w:lineRule="exact"/>
              <w:rPr>
                <w:sz w:val="20"/>
                <w:szCs w:val="20"/>
                <w:color w:val="auto"/>
              </w:rPr>
            </w:pPr>
            <w:r>
              <w:rPr>
                <w:rFonts w:ascii="Arial" w:cs="Arial" w:eastAsia="Arial" w:hAnsi="Arial"/>
                <w:sz w:val="13"/>
                <w:szCs w:val="13"/>
                <w:color w:val="auto"/>
              </w:rPr>
              <w:t>salary for each of our named executive officers.</w:t>
            </w:r>
          </w:p>
        </w:tc>
      </w:tr>
      <w:tr>
        <w:trPr>
          <w:trHeight w:val="146"/>
        </w:trPr>
        <w:tc>
          <w:tcPr>
            <w:tcW w:w="2200" w:type="dxa"/>
            <w:vAlign w:val="bottom"/>
            <w:tcBorders>
              <w:right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rPr>
              <w:t>Compensation and Nominating</w:t>
            </w:r>
          </w:p>
        </w:tc>
        <w:tc>
          <w:tcPr>
            <w:tcW w:w="9100" w:type="dxa"/>
            <w:vAlign w:val="bottom"/>
          </w:tcPr>
          <w:p>
            <w:pPr>
              <w:spacing w:after="0"/>
              <w:rPr>
                <w:sz w:val="12"/>
                <w:szCs w:val="12"/>
                <w:color w:val="auto"/>
              </w:rPr>
            </w:pPr>
          </w:p>
        </w:tc>
      </w:tr>
      <w:tr>
        <w:trPr>
          <w:trHeight w:val="146"/>
        </w:trPr>
        <w:tc>
          <w:tcPr>
            <w:tcW w:w="2200" w:type="dxa"/>
            <w:vAlign w:val="bottom"/>
            <w:tcBorders>
              <w:right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rPr>
              <w:t>and Governance Committees,</w:t>
            </w:r>
          </w:p>
        </w:tc>
        <w:tc>
          <w:tcPr>
            <w:tcW w:w="9100" w:type="dxa"/>
            <w:vAlign w:val="bottom"/>
          </w:tcPr>
          <w:p>
            <w:pPr>
              <w:ind w:left="120"/>
              <w:spacing w:after="0" w:line="146" w:lineRule="exact"/>
              <w:rPr>
                <w:sz w:val="20"/>
                <w:szCs w:val="20"/>
                <w:color w:val="auto"/>
              </w:rPr>
            </w:pPr>
            <w:r>
              <w:rPr>
                <w:rFonts w:ascii="Arial" w:cs="Arial" w:eastAsia="Arial" w:hAnsi="Arial"/>
                <w:sz w:val="13"/>
                <w:szCs w:val="13"/>
                <w:b w:val="1"/>
                <w:bCs w:val="1"/>
                <w:color w:val="auto"/>
              </w:rPr>
              <w:t>Assessment of Vice Chairman and CEO Performance</w:t>
            </w:r>
          </w:p>
        </w:tc>
      </w:tr>
      <w:tr>
        <w:trPr>
          <w:trHeight w:val="168"/>
        </w:trPr>
        <w:tc>
          <w:tcPr>
            <w:tcW w:w="220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and Vice Chairman and CEO</w:t>
            </w:r>
          </w:p>
        </w:tc>
        <w:tc>
          <w:tcPr>
            <w:tcW w:w="910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9100" w:type="dxa"/>
            <w:vAlign w:val="bottom"/>
          </w:tcPr>
          <w:p>
            <w:pPr>
              <w:ind w:left="120"/>
              <w:spacing w:after="0"/>
              <w:rPr>
                <w:sz w:val="20"/>
                <w:szCs w:val="20"/>
                <w:color w:val="auto"/>
              </w:rPr>
            </w:pPr>
            <w:r>
              <w:rPr>
                <w:rFonts w:ascii="Arial" w:cs="Arial" w:eastAsia="Arial" w:hAnsi="Arial"/>
                <w:sz w:val="13"/>
                <w:szCs w:val="13"/>
                <w:color w:val="auto"/>
              </w:rPr>
              <w:t>For Mr. Kapoor, our board of directors reviews and provides feedback on a self-evaluation prepared by Mr. Kapoor. Our Chairman then discusses the</w:t>
            </w:r>
          </w:p>
        </w:tc>
      </w:tr>
      <w:tr>
        <w:trPr>
          <w:trHeight w:val="146"/>
        </w:trPr>
        <w:tc>
          <w:tcPr>
            <w:tcW w:w="20" w:type="dxa"/>
            <w:vAlign w:val="bottom"/>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9100" w:type="dxa"/>
            <w:vAlign w:val="bottom"/>
          </w:tcPr>
          <w:p>
            <w:pPr>
              <w:ind w:left="120"/>
              <w:spacing w:after="0" w:line="146" w:lineRule="exact"/>
              <w:rPr>
                <w:sz w:val="20"/>
                <w:szCs w:val="20"/>
                <w:color w:val="auto"/>
              </w:rPr>
            </w:pPr>
            <w:r>
              <w:rPr>
                <w:rFonts w:ascii="Arial" w:cs="Arial" w:eastAsia="Arial" w:hAnsi="Arial"/>
                <w:sz w:val="13"/>
                <w:szCs w:val="13"/>
                <w:color w:val="auto"/>
                <w:w w:val="97"/>
              </w:rPr>
              <w:t>consolidated feedback from the board of directors with our Compensation and Nominating and Governance Committees. Once all directors have given feedback</w:t>
            </w:r>
          </w:p>
        </w:tc>
      </w:tr>
      <w:tr>
        <w:trPr>
          <w:trHeight w:val="146"/>
        </w:trPr>
        <w:tc>
          <w:tcPr>
            <w:tcW w:w="20" w:type="dxa"/>
            <w:vAlign w:val="bottom"/>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9100" w:type="dxa"/>
            <w:vAlign w:val="bottom"/>
          </w:tcPr>
          <w:p>
            <w:pPr>
              <w:ind w:left="120"/>
              <w:spacing w:after="0" w:line="146" w:lineRule="exact"/>
              <w:rPr>
                <w:sz w:val="20"/>
                <w:szCs w:val="20"/>
                <w:color w:val="auto"/>
              </w:rPr>
            </w:pPr>
            <w:r>
              <w:rPr>
                <w:rFonts w:ascii="Arial" w:cs="Arial" w:eastAsia="Arial" w:hAnsi="Arial"/>
                <w:sz w:val="13"/>
                <w:szCs w:val="13"/>
                <w:color w:val="auto"/>
                <w:w w:val="98"/>
              </w:rPr>
              <w:t>on Mr. Kapoor's performance, we conduct a comprehensive discussion of the full board of directors on Mr. Kapoor's performance, leadership accomplishments</w:t>
            </w:r>
          </w:p>
        </w:tc>
      </w:tr>
      <w:tr>
        <w:trPr>
          <w:trHeight w:val="152"/>
        </w:trPr>
        <w:tc>
          <w:tcPr>
            <w:tcW w:w="20" w:type="dxa"/>
            <w:vAlign w:val="bottom"/>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9100" w:type="dxa"/>
            <w:vAlign w:val="bottom"/>
          </w:tcPr>
          <w:p>
            <w:pPr>
              <w:ind w:left="120"/>
              <w:spacing w:after="0"/>
              <w:rPr>
                <w:sz w:val="20"/>
                <w:szCs w:val="20"/>
                <w:color w:val="auto"/>
              </w:rPr>
            </w:pPr>
            <w:r>
              <w:rPr>
                <w:rFonts w:ascii="Arial" w:cs="Arial" w:eastAsia="Arial" w:hAnsi="Arial"/>
                <w:sz w:val="13"/>
                <w:szCs w:val="13"/>
                <w:color w:val="auto"/>
              </w:rPr>
              <w:t>and overall competence to evaluate the achievement of established objectives.</w:t>
            </w:r>
          </w:p>
        </w:tc>
      </w:tr>
      <w:tr>
        <w:trPr>
          <w:trHeight w:val="302"/>
        </w:trPr>
        <w:tc>
          <w:tcPr>
            <w:tcW w:w="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100" w:type="dxa"/>
            <w:vAlign w:val="bottom"/>
          </w:tcPr>
          <w:p>
            <w:pPr>
              <w:ind w:left="120"/>
              <w:spacing w:after="0"/>
              <w:rPr>
                <w:sz w:val="20"/>
                <w:szCs w:val="20"/>
                <w:color w:val="auto"/>
              </w:rPr>
            </w:pPr>
            <w:r>
              <w:rPr>
                <w:rFonts w:ascii="Arial" w:cs="Arial" w:eastAsia="Arial" w:hAnsi="Arial"/>
                <w:sz w:val="13"/>
                <w:szCs w:val="13"/>
                <w:b w:val="1"/>
                <w:bCs w:val="1"/>
                <w:color w:val="auto"/>
              </w:rPr>
              <w:t>Assessment of Performance for All Other NEOs and Executive Officers</w:t>
            </w:r>
          </w:p>
        </w:tc>
      </w:tr>
      <w:tr>
        <w:trPr>
          <w:trHeight w:val="295"/>
        </w:trPr>
        <w:tc>
          <w:tcPr>
            <w:tcW w:w="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100" w:type="dxa"/>
            <w:vAlign w:val="bottom"/>
          </w:tcPr>
          <w:p>
            <w:pPr>
              <w:ind w:left="120"/>
              <w:spacing w:after="0"/>
              <w:rPr>
                <w:sz w:val="20"/>
                <w:szCs w:val="20"/>
                <w:color w:val="auto"/>
              </w:rPr>
            </w:pPr>
            <w:r>
              <w:rPr>
                <w:rFonts w:ascii="Arial" w:cs="Arial" w:eastAsia="Arial" w:hAnsi="Arial"/>
                <w:sz w:val="13"/>
                <w:szCs w:val="13"/>
                <w:color w:val="auto"/>
              </w:rPr>
              <w:t>For all other NEOs and executive officers, Mr. Kapoor makes a performance assessment and compensation recommendation to our Compensation and</w:t>
            </w:r>
          </w:p>
        </w:tc>
      </w:tr>
      <w:tr>
        <w:trPr>
          <w:trHeight w:val="146"/>
        </w:trPr>
        <w:tc>
          <w:tcPr>
            <w:tcW w:w="20" w:type="dxa"/>
            <w:vAlign w:val="bottom"/>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9100" w:type="dxa"/>
            <w:vAlign w:val="bottom"/>
          </w:tcPr>
          <w:p>
            <w:pPr>
              <w:ind w:left="120"/>
              <w:spacing w:after="0" w:line="146" w:lineRule="exact"/>
              <w:rPr>
                <w:sz w:val="20"/>
                <w:szCs w:val="20"/>
                <w:color w:val="auto"/>
              </w:rPr>
            </w:pPr>
            <w:r>
              <w:rPr>
                <w:rFonts w:ascii="Arial" w:cs="Arial" w:eastAsia="Arial" w:hAnsi="Arial"/>
                <w:sz w:val="13"/>
                <w:szCs w:val="13"/>
                <w:color w:val="auto"/>
              </w:rPr>
              <w:t>Nominating and Governance Committees. He bases the performance assessments on our named executive officers' self-evaluations and his performance</w:t>
            </w:r>
          </w:p>
        </w:tc>
      </w:tr>
      <w:tr>
        <w:trPr>
          <w:trHeight w:val="152"/>
        </w:trPr>
        <w:tc>
          <w:tcPr>
            <w:tcW w:w="20" w:type="dxa"/>
            <w:vAlign w:val="bottom"/>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9100" w:type="dxa"/>
            <w:vAlign w:val="bottom"/>
          </w:tcPr>
          <w:p>
            <w:pPr>
              <w:ind w:left="120"/>
              <w:spacing w:after="0"/>
              <w:rPr>
                <w:sz w:val="20"/>
                <w:szCs w:val="20"/>
                <w:color w:val="auto"/>
              </w:rPr>
            </w:pPr>
            <w:r>
              <w:rPr>
                <w:rFonts w:ascii="Arial" w:cs="Arial" w:eastAsia="Arial" w:hAnsi="Arial"/>
                <w:sz w:val="13"/>
                <w:szCs w:val="13"/>
                <w:color w:val="auto"/>
              </w:rPr>
              <w:t>appraisals of each of them.</w:t>
            </w:r>
          </w:p>
        </w:tc>
      </w:tr>
      <w:tr>
        <w:trPr>
          <w:trHeight w:val="295"/>
        </w:trPr>
        <w:tc>
          <w:tcPr>
            <w:tcW w:w="2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100" w:type="dxa"/>
            <w:vAlign w:val="bottom"/>
          </w:tcPr>
          <w:p>
            <w:pPr>
              <w:ind w:left="120"/>
              <w:spacing w:after="0"/>
              <w:rPr>
                <w:sz w:val="20"/>
                <w:szCs w:val="20"/>
                <w:color w:val="auto"/>
              </w:rPr>
            </w:pPr>
            <w:r>
              <w:rPr>
                <w:rFonts w:ascii="Arial" w:cs="Arial" w:eastAsia="Arial" w:hAnsi="Arial"/>
                <w:sz w:val="13"/>
                <w:szCs w:val="13"/>
                <w:color w:val="auto"/>
                <w:w w:val="99"/>
              </w:rPr>
              <w:t>Our Compensation and Nominating and Governance Committees reviews the performance assessments with Mr. Kapoor, and evaluates the achievement of</w:t>
            </w:r>
          </w:p>
        </w:tc>
      </w:tr>
      <w:tr>
        <w:trPr>
          <w:trHeight w:val="146"/>
        </w:trPr>
        <w:tc>
          <w:tcPr>
            <w:tcW w:w="20" w:type="dxa"/>
            <w:vAlign w:val="bottom"/>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9100" w:type="dxa"/>
            <w:vAlign w:val="bottom"/>
          </w:tcPr>
          <w:p>
            <w:pPr>
              <w:ind w:left="120"/>
              <w:spacing w:after="0" w:line="146" w:lineRule="exact"/>
              <w:rPr>
                <w:sz w:val="20"/>
                <w:szCs w:val="20"/>
                <w:color w:val="auto"/>
              </w:rPr>
            </w:pPr>
            <w:r>
              <w:rPr>
                <w:rFonts w:ascii="Arial" w:cs="Arial" w:eastAsia="Arial" w:hAnsi="Arial"/>
                <w:sz w:val="13"/>
                <w:szCs w:val="13"/>
                <w:color w:val="auto"/>
                <w:w w:val="97"/>
              </w:rPr>
              <w:t>established objectives by each named executive officer and his business line, if applicable, and his contribution to our performance, leadership accomplishments</w:t>
            </w:r>
          </w:p>
        </w:tc>
      </w:tr>
      <w:tr>
        <w:trPr>
          <w:trHeight w:val="146"/>
        </w:trPr>
        <w:tc>
          <w:tcPr>
            <w:tcW w:w="20" w:type="dxa"/>
            <w:vAlign w:val="bottom"/>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9100" w:type="dxa"/>
            <w:vAlign w:val="bottom"/>
          </w:tcPr>
          <w:p>
            <w:pPr>
              <w:ind w:left="120"/>
              <w:spacing w:after="0" w:line="146" w:lineRule="exact"/>
              <w:rPr>
                <w:sz w:val="20"/>
                <w:szCs w:val="20"/>
                <w:color w:val="auto"/>
              </w:rPr>
            </w:pPr>
            <w:r>
              <w:rPr>
                <w:rFonts w:ascii="Arial" w:cs="Arial" w:eastAsia="Arial" w:hAnsi="Arial"/>
                <w:sz w:val="13"/>
                <w:szCs w:val="13"/>
                <w:color w:val="auto"/>
                <w:w w:val="97"/>
              </w:rPr>
              <w:t>and overall competence. The Compensation and Nominating and Governance Committees may exercise their judgment based on the named executive officer's</w:t>
            </w:r>
          </w:p>
        </w:tc>
      </w:tr>
      <w:tr>
        <w:trPr>
          <w:trHeight w:val="144"/>
        </w:trPr>
        <w:tc>
          <w:tcPr>
            <w:tcW w:w="20" w:type="dxa"/>
            <w:vAlign w:val="bottom"/>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910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color w:val="auto"/>
              </w:rPr>
              <w:t>interactions with the board of directors.</w:t>
            </w:r>
          </w:p>
        </w:tc>
      </w:tr>
      <w:tr>
        <w:trPr>
          <w:trHeight w:val="122"/>
        </w:trPr>
        <w:tc>
          <w:tcPr>
            <w:tcW w:w="20" w:type="dxa"/>
            <w:vAlign w:val="bottom"/>
          </w:tcPr>
          <w:p>
            <w:pPr>
              <w:spacing w:after="0"/>
              <w:rPr>
                <w:sz w:val="10"/>
                <w:szCs w:val="10"/>
                <w:color w:val="auto"/>
              </w:rPr>
            </w:pPr>
          </w:p>
        </w:tc>
        <w:tc>
          <w:tcPr>
            <w:tcW w:w="2180" w:type="dxa"/>
            <w:vAlign w:val="bottom"/>
            <w:tcBorders>
              <w:right w:val="single" w:sz="8" w:color="auto"/>
            </w:tcBorders>
          </w:tcPr>
          <w:p>
            <w:pPr>
              <w:spacing w:after="0" w:line="122" w:lineRule="exact"/>
              <w:rPr>
                <w:sz w:val="20"/>
                <w:szCs w:val="20"/>
                <w:color w:val="auto"/>
              </w:rPr>
            </w:pPr>
            <w:r>
              <w:rPr>
                <w:rFonts w:ascii="Arial" w:cs="Arial" w:eastAsia="Arial" w:hAnsi="Arial"/>
                <w:sz w:val="13"/>
                <w:szCs w:val="13"/>
                <w:b w:val="1"/>
                <w:bCs w:val="1"/>
                <w:color w:val="auto"/>
              </w:rPr>
              <w:t>Other Matters Relevant to</w:t>
            </w:r>
          </w:p>
        </w:tc>
        <w:tc>
          <w:tcPr>
            <w:tcW w:w="9100" w:type="dxa"/>
            <w:vAlign w:val="bottom"/>
          </w:tcPr>
          <w:p>
            <w:pPr>
              <w:ind w:left="120"/>
              <w:spacing w:after="0" w:line="122" w:lineRule="exact"/>
              <w:rPr>
                <w:sz w:val="20"/>
                <w:szCs w:val="20"/>
                <w:color w:val="auto"/>
              </w:rPr>
            </w:pPr>
            <w:r>
              <w:rPr>
                <w:rFonts w:ascii="Arial" w:cs="Arial" w:eastAsia="Arial" w:hAnsi="Arial"/>
                <w:sz w:val="13"/>
                <w:szCs w:val="13"/>
                <w:color w:val="auto"/>
                <w:w w:val="99"/>
              </w:rPr>
              <w:t>Our Compensation Committee periodically reviews related matters such as succession planning and management, evaluation of management performance,</w:t>
            </w:r>
          </w:p>
        </w:tc>
      </w:tr>
      <w:tr>
        <w:trPr>
          <w:trHeight w:val="146"/>
        </w:trPr>
        <w:tc>
          <w:tcPr>
            <w:tcW w:w="2200" w:type="dxa"/>
            <w:vAlign w:val="bottom"/>
            <w:tcBorders>
              <w:right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rPr>
              <w:t>Compensation Decisions —</w:t>
            </w:r>
          </w:p>
        </w:tc>
        <w:tc>
          <w:tcPr>
            <w:tcW w:w="9100" w:type="dxa"/>
            <w:vAlign w:val="bottom"/>
          </w:tcPr>
          <w:p>
            <w:pPr>
              <w:ind w:left="120"/>
              <w:spacing w:after="0" w:line="146" w:lineRule="exact"/>
              <w:rPr>
                <w:sz w:val="20"/>
                <w:szCs w:val="20"/>
                <w:color w:val="auto"/>
              </w:rPr>
            </w:pPr>
            <w:r>
              <w:rPr>
                <w:rFonts w:ascii="Arial" w:cs="Arial" w:eastAsia="Arial" w:hAnsi="Arial"/>
                <w:sz w:val="13"/>
                <w:szCs w:val="13"/>
                <w:color w:val="auto"/>
              </w:rPr>
              <w:t>changes in the scope of managerial responsibilities, and consideration of the business environment, and considers such matters in making compensation</w:t>
            </w:r>
          </w:p>
        </w:tc>
      </w:tr>
      <w:tr>
        <w:trPr>
          <w:trHeight w:val="162"/>
        </w:trPr>
        <w:tc>
          <w:tcPr>
            <w:tcW w:w="220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Compensation Committee</w:t>
            </w:r>
          </w:p>
        </w:tc>
        <w:tc>
          <w:tcPr>
            <w:tcW w:w="9100" w:type="dxa"/>
            <w:vAlign w:val="bottom"/>
          </w:tcPr>
          <w:p>
            <w:pPr>
              <w:ind w:left="120"/>
              <w:spacing w:after="0"/>
              <w:rPr>
                <w:sz w:val="20"/>
                <w:szCs w:val="20"/>
                <w:color w:val="auto"/>
              </w:rPr>
            </w:pPr>
            <w:r>
              <w:rPr>
                <w:rFonts w:ascii="Arial" w:cs="Arial" w:eastAsia="Arial" w:hAnsi="Arial"/>
                <w:sz w:val="13"/>
                <w:szCs w:val="13"/>
                <w:color w:val="auto"/>
                <w:w w:val="98"/>
              </w:rPr>
              <w:t>decisions. The Compensation Committee also takes into account an executive officer's job responsibilities, performance, qualifications and skills in determining</w:t>
            </w:r>
          </w:p>
        </w:tc>
      </w:tr>
      <w:tr>
        <w:trPr>
          <w:trHeight w:val="144"/>
        </w:trPr>
        <w:tc>
          <w:tcPr>
            <w:tcW w:w="20" w:type="dxa"/>
            <w:vAlign w:val="bottom"/>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910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color w:val="auto"/>
              </w:rPr>
              <w:t>individual compensation levels.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1408430" cy="3333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320" w:type="dxa"/>
            <w:vAlign w:val="bottom"/>
          </w:tcPr>
          <w:p>
            <w:pPr>
              <w:ind w:left="7860"/>
              <w:spacing w:after="0"/>
              <w:rPr>
                <w:sz w:val="20"/>
                <w:szCs w:val="20"/>
                <w:color w:val="auto"/>
              </w:rPr>
            </w:pPr>
            <w:r>
              <w:rPr>
                <w:rFonts w:ascii="Arial" w:cs="Arial" w:eastAsia="Arial" w:hAnsi="Arial"/>
                <w:sz w:val="10"/>
                <w:szCs w:val="10"/>
                <w:b w:val="1"/>
                <w:bCs w:val="1"/>
                <w:color w:val="CCD9D9"/>
              </w:rPr>
              <w:t>EXECUTIVE COMPENSATION</w:t>
            </w:r>
          </w:p>
        </w:tc>
        <w:tc>
          <w:tcPr>
            <w:tcW w:w="0" w:type="dxa"/>
            <w:vAlign w:val="bottom"/>
          </w:tcPr>
          <w:p>
            <w:pPr>
              <w:spacing w:after="0"/>
              <w:rPr>
                <w:sz w:val="1"/>
                <w:szCs w:val="1"/>
                <w:color w:val="auto"/>
              </w:rPr>
            </w:pPr>
          </w:p>
        </w:tc>
      </w:tr>
      <w:tr>
        <w:trPr>
          <w:trHeight w:val="262"/>
        </w:trPr>
        <w:tc>
          <w:tcPr>
            <w:tcW w:w="20" w:type="dxa"/>
            <w:vAlign w:val="bottom"/>
            <w:vMerge w:val="restart"/>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9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60" w:type="dxa"/>
            <w:vAlign w:val="bottom"/>
          </w:tcPr>
          <w:p>
            <w:pPr>
              <w:spacing w:after="0" w:line="122" w:lineRule="exact"/>
              <w:rPr>
                <w:sz w:val="20"/>
                <w:szCs w:val="20"/>
                <w:color w:val="auto"/>
              </w:rPr>
            </w:pPr>
            <w:r>
              <w:rPr>
                <w:rFonts w:ascii="Arial" w:cs="Arial" w:eastAsia="Arial" w:hAnsi="Arial"/>
                <w:sz w:val="13"/>
                <w:szCs w:val="13"/>
                <w:b w:val="1"/>
                <w:bCs w:val="1"/>
                <w:color w:val="auto"/>
              </w:rPr>
              <w:t>Independent Compensation</w:t>
            </w:r>
          </w:p>
        </w:tc>
        <w:tc>
          <w:tcPr>
            <w:tcW w:w="9320" w:type="dxa"/>
            <w:vAlign w:val="bottom"/>
          </w:tcPr>
          <w:p>
            <w:pPr>
              <w:ind w:left="340"/>
              <w:spacing w:after="0" w:line="122" w:lineRule="exact"/>
              <w:rPr>
                <w:sz w:val="20"/>
                <w:szCs w:val="20"/>
                <w:color w:val="auto"/>
              </w:rPr>
            </w:pPr>
            <w:r>
              <w:rPr>
                <w:rFonts w:ascii="Arial" w:cs="Arial" w:eastAsia="Arial" w:hAnsi="Arial"/>
                <w:sz w:val="13"/>
                <w:szCs w:val="13"/>
                <w:color w:val="auto"/>
              </w:rPr>
              <w:t>For 2020, the Compensation Committee retained the services of FW Cook, a qualified and independent compensation consultant, to aid the Compensation</w:t>
            </w:r>
          </w:p>
        </w:tc>
        <w:tc>
          <w:tcPr>
            <w:tcW w:w="0" w:type="dxa"/>
            <w:vAlign w:val="bottom"/>
          </w:tcPr>
          <w:p>
            <w:pPr>
              <w:spacing w:after="0"/>
              <w:rPr>
                <w:sz w:val="1"/>
                <w:szCs w:val="1"/>
                <w:color w:val="auto"/>
              </w:rPr>
            </w:pPr>
          </w:p>
        </w:tc>
      </w:tr>
      <w:tr>
        <w:trPr>
          <w:trHeight w:val="152"/>
        </w:trPr>
        <w:tc>
          <w:tcPr>
            <w:tcW w:w="1980" w:type="dxa"/>
            <w:vAlign w:val="bottom"/>
            <w:gridSpan w:val="2"/>
          </w:tcPr>
          <w:p>
            <w:pPr>
              <w:spacing w:after="0"/>
              <w:rPr>
                <w:sz w:val="20"/>
                <w:szCs w:val="20"/>
                <w:color w:val="auto"/>
              </w:rPr>
            </w:pPr>
            <w:r>
              <w:rPr>
                <w:rFonts w:ascii="Arial" w:cs="Arial" w:eastAsia="Arial" w:hAnsi="Arial"/>
                <w:sz w:val="13"/>
                <w:szCs w:val="13"/>
                <w:b w:val="1"/>
                <w:bCs w:val="1"/>
                <w:color w:val="auto"/>
              </w:rPr>
              <w:t>Consultant</w:t>
            </w:r>
          </w:p>
        </w:tc>
        <w:tc>
          <w:tcPr>
            <w:tcW w:w="9320" w:type="dxa"/>
            <w:vAlign w:val="bottom"/>
          </w:tcPr>
          <w:p>
            <w:pPr>
              <w:ind w:left="340"/>
              <w:spacing w:after="0"/>
              <w:rPr>
                <w:sz w:val="20"/>
                <w:szCs w:val="20"/>
                <w:color w:val="auto"/>
              </w:rPr>
            </w:pPr>
            <w:r>
              <w:rPr>
                <w:rFonts w:ascii="Arial" w:cs="Arial" w:eastAsia="Arial" w:hAnsi="Arial"/>
                <w:sz w:val="13"/>
                <w:szCs w:val="13"/>
                <w:color w:val="auto"/>
              </w:rPr>
              <w:t>Committee in performing its duties. The Compensation Committee's compensation consultant assists 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-186055</wp:posOffset>
            </wp:positionV>
            <wp:extent cx="6350" cy="28105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350" cy="2810510"/>
                    </a:xfrm>
                    <a:prstGeom prst="rect">
                      <a:avLst/>
                    </a:prstGeom>
                    <a:noFill/>
                  </pic:spPr>
                </pic:pic>
              </a:graphicData>
            </a:graphic>
          </wp:anchor>
        </w:drawing>
      </w:r>
    </w:p>
    <w:p>
      <w:pPr>
        <w:ind w:left="2700" w:hanging="128"/>
        <w:spacing w:after="0"/>
        <w:tabs>
          <w:tab w:leader="none" w:pos="2700" w:val="left"/>
        </w:tabs>
        <w:numPr>
          <w:ilvl w:val="0"/>
          <w:numId w:val="59"/>
        </w:numPr>
        <w:rPr>
          <w:rFonts w:ascii="Arial" w:cs="Arial" w:eastAsia="Arial" w:hAnsi="Arial"/>
          <w:sz w:val="13"/>
          <w:szCs w:val="13"/>
          <w:color w:val="FF4000"/>
        </w:rPr>
      </w:pPr>
      <w:r>
        <w:rPr>
          <w:rFonts w:ascii="Arial" w:cs="Arial" w:eastAsia="Arial" w:hAnsi="Arial"/>
          <w:sz w:val="13"/>
          <w:szCs w:val="13"/>
          <w:color w:val="auto"/>
        </w:rPr>
        <w:t>collecting and evaluating external market data regarding executive compensation and performance,</w:t>
      </w:r>
    </w:p>
    <w:p>
      <w:pPr>
        <w:spacing w:after="0" w:line="142" w:lineRule="exact"/>
        <w:rPr>
          <w:rFonts w:ascii="Arial" w:cs="Arial" w:eastAsia="Arial" w:hAnsi="Arial"/>
          <w:sz w:val="13"/>
          <w:szCs w:val="13"/>
          <w:color w:val="FF4000"/>
        </w:rPr>
      </w:pPr>
    </w:p>
    <w:p>
      <w:pPr>
        <w:ind w:left="2700" w:hanging="128"/>
        <w:spacing w:after="0"/>
        <w:tabs>
          <w:tab w:leader="none" w:pos="2700" w:val="left"/>
        </w:tabs>
        <w:numPr>
          <w:ilvl w:val="0"/>
          <w:numId w:val="59"/>
        </w:numPr>
        <w:rPr>
          <w:rFonts w:ascii="Arial" w:cs="Arial" w:eastAsia="Arial" w:hAnsi="Arial"/>
          <w:sz w:val="13"/>
          <w:szCs w:val="13"/>
          <w:color w:val="FF4000"/>
        </w:rPr>
      </w:pPr>
      <w:r>
        <w:rPr>
          <w:rFonts w:ascii="Arial" w:cs="Arial" w:eastAsia="Arial" w:hAnsi="Arial"/>
          <w:sz w:val="13"/>
          <w:szCs w:val="13"/>
          <w:color w:val="auto"/>
        </w:rPr>
        <w:t>selecting peer group companies,</w:t>
      </w:r>
    </w:p>
    <w:p>
      <w:pPr>
        <w:spacing w:after="0" w:line="142" w:lineRule="exact"/>
        <w:rPr>
          <w:rFonts w:ascii="Arial" w:cs="Arial" w:eastAsia="Arial" w:hAnsi="Arial"/>
          <w:sz w:val="13"/>
          <w:szCs w:val="13"/>
          <w:color w:val="FF4000"/>
        </w:rPr>
      </w:pPr>
    </w:p>
    <w:p>
      <w:pPr>
        <w:ind w:left="2700" w:hanging="128"/>
        <w:spacing w:after="0"/>
        <w:tabs>
          <w:tab w:leader="none" w:pos="2700" w:val="left"/>
        </w:tabs>
        <w:numPr>
          <w:ilvl w:val="0"/>
          <w:numId w:val="59"/>
        </w:numPr>
        <w:rPr>
          <w:rFonts w:ascii="Arial" w:cs="Arial" w:eastAsia="Arial" w:hAnsi="Arial"/>
          <w:sz w:val="13"/>
          <w:szCs w:val="13"/>
          <w:color w:val="FF4000"/>
        </w:rPr>
      </w:pPr>
      <w:r>
        <w:rPr>
          <w:rFonts w:ascii="Arial" w:cs="Arial" w:eastAsia="Arial" w:hAnsi="Arial"/>
          <w:sz w:val="13"/>
          <w:szCs w:val="13"/>
          <w:color w:val="auto"/>
        </w:rPr>
        <w:t>reviewing the proxy statement, and</w:t>
      </w:r>
    </w:p>
    <w:p>
      <w:pPr>
        <w:spacing w:after="0" w:line="142" w:lineRule="exact"/>
        <w:rPr>
          <w:rFonts w:ascii="Arial" w:cs="Arial" w:eastAsia="Arial" w:hAnsi="Arial"/>
          <w:sz w:val="13"/>
          <w:szCs w:val="13"/>
          <w:color w:val="FF4000"/>
        </w:rPr>
      </w:pPr>
    </w:p>
    <w:p>
      <w:pPr>
        <w:ind w:left="2700" w:right="260" w:hanging="128"/>
        <w:spacing w:after="0" w:line="239" w:lineRule="auto"/>
        <w:tabs>
          <w:tab w:leader="none" w:pos="2700" w:val="left"/>
        </w:tabs>
        <w:numPr>
          <w:ilvl w:val="0"/>
          <w:numId w:val="59"/>
        </w:numPr>
        <w:rPr>
          <w:rFonts w:ascii="Arial" w:cs="Arial" w:eastAsia="Arial" w:hAnsi="Arial"/>
          <w:sz w:val="13"/>
          <w:szCs w:val="13"/>
          <w:color w:val="FF4000"/>
        </w:rPr>
      </w:pPr>
      <w:r>
        <w:rPr>
          <w:rFonts w:ascii="Arial" w:cs="Arial" w:eastAsia="Arial" w:hAnsi="Arial"/>
          <w:sz w:val="13"/>
          <w:szCs w:val="13"/>
          <w:color w:val="auto"/>
        </w:rPr>
        <w:t>advising the Compensation Committee on developing trends and best practices in executive and director compensation and equity and incentive plan design.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240" w:type="dxa"/>
            <w:vAlign w:val="bottom"/>
          </w:tcPr>
          <w:p>
            <w:pPr>
              <w:ind w:left="260"/>
              <w:spacing w:after="0"/>
              <w:rPr>
                <w:sz w:val="20"/>
                <w:szCs w:val="20"/>
                <w:color w:val="auto"/>
              </w:rPr>
            </w:pPr>
            <w:r>
              <w:rPr>
                <w:rFonts w:ascii="Arial" w:cs="Arial" w:eastAsia="Arial" w:hAnsi="Arial"/>
                <w:sz w:val="13"/>
                <w:szCs w:val="13"/>
                <w:color w:val="auto"/>
                <w:w w:val="97"/>
              </w:rPr>
              <w:t>Other than performing these consulting services, FW Cook does not provide other services to us or our executive officers. We have affirmatively determined that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9240" w:type="dxa"/>
            <w:vAlign w:val="bottom"/>
            <w:tcBorders>
              <w:bottom w:val="single" w:sz="8" w:color="auto"/>
            </w:tcBorders>
          </w:tcPr>
          <w:p>
            <w:pPr>
              <w:ind w:left="260"/>
              <w:spacing w:after="0" w:line="144" w:lineRule="exact"/>
              <w:rPr>
                <w:sz w:val="20"/>
                <w:szCs w:val="20"/>
                <w:color w:val="auto"/>
              </w:rPr>
            </w:pPr>
            <w:r>
              <w:rPr>
                <w:rFonts w:ascii="Arial" w:cs="Arial" w:eastAsia="Arial" w:hAnsi="Arial"/>
                <w:sz w:val="13"/>
                <w:szCs w:val="13"/>
                <w:color w:val="auto"/>
              </w:rPr>
              <w:t>no conflict of interest has arisen in connection with the work of FW Cook as compensation consultant for the Compensation Committee.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Pr>
          <w:p>
            <w:pPr>
              <w:spacing w:after="0" w:line="138" w:lineRule="exact"/>
              <w:rPr>
                <w:sz w:val="20"/>
                <w:szCs w:val="20"/>
                <w:color w:val="auto"/>
              </w:rPr>
            </w:pPr>
            <w:r>
              <w:rPr>
                <w:rFonts w:ascii="Arial" w:cs="Arial" w:eastAsia="Arial" w:hAnsi="Arial"/>
                <w:sz w:val="13"/>
                <w:szCs w:val="13"/>
                <w:b w:val="1"/>
                <w:bCs w:val="1"/>
                <w:color w:val="auto"/>
              </w:rPr>
              <w:t>Peer Market Data</w:t>
            </w:r>
          </w:p>
        </w:tc>
        <w:tc>
          <w:tcPr>
            <w:tcW w:w="9240" w:type="dxa"/>
            <w:vAlign w:val="bottom"/>
          </w:tcPr>
          <w:p>
            <w:pPr>
              <w:ind w:left="260"/>
              <w:spacing w:after="0" w:line="138" w:lineRule="exact"/>
              <w:rPr>
                <w:sz w:val="20"/>
                <w:szCs w:val="20"/>
                <w:color w:val="auto"/>
              </w:rPr>
            </w:pPr>
            <w:r>
              <w:rPr>
                <w:rFonts w:ascii="Arial" w:cs="Arial" w:eastAsia="Arial" w:hAnsi="Arial"/>
                <w:sz w:val="13"/>
                <w:szCs w:val="13"/>
                <w:color w:val="auto"/>
              </w:rPr>
              <w:t>We review peer compensation data at the beginning of the year (or the end of the prior year) in order to set compensation for each year. At the time</w:t>
            </w:r>
          </w:p>
        </w:tc>
        <w:tc>
          <w:tcPr>
            <w:tcW w:w="0" w:type="dxa"/>
            <w:vAlign w:val="bottom"/>
          </w:tcPr>
          <w:p>
            <w:pPr>
              <w:spacing w:after="0"/>
              <w:rPr>
                <w:sz w:val="1"/>
                <w:szCs w:val="1"/>
                <w:color w:val="auto"/>
              </w:rPr>
            </w:pPr>
          </w:p>
        </w:tc>
      </w:tr>
      <w:tr>
        <w:trPr>
          <w:trHeight w:val="146"/>
        </w:trPr>
        <w:tc>
          <w:tcPr>
            <w:tcW w:w="2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Compensation Committee and</w:t>
            </w:r>
          </w:p>
        </w:tc>
        <w:tc>
          <w:tcPr>
            <w:tcW w:w="9240" w:type="dxa"/>
            <w:vAlign w:val="bottom"/>
          </w:tcPr>
          <w:p>
            <w:pPr>
              <w:ind w:left="260"/>
              <w:spacing w:after="0" w:line="146" w:lineRule="exact"/>
              <w:rPr>
                <w:sz w:val="20"/>
                <w:szCs w:val="20"/>
                <w:color w:val="auto"/>
              </w:rPr>
            </w:pPr>
            <w:r>
              <w:rPr>
                <w:rFonts w:ascii="Arial" w:cs="Arial" w:eastAsia="Arial" w:hAnsi="Arial"/>
                <w:sz w:val="13"/>
                <w:szCs w:val="13"/>
                <w:color w:val="auto"/>
                <w:w w:val="99"/>
              </w:rPr>
              <w:t>compensation decisions were made for our U.S.-based and other senior executive officers in 2020, our Compensation Committee reviewed publicly available</w:t>
            </w:r>
          </w:p>
        </w:tc>
        <w:tc>
          <w:tcPr>
            <w:tcW w:w="0" w:type="dxa"/>
            <w:vAlign w:val="bottom"/>
          </w:tcPr>
          <w:p>
            <w:pPr>
              <w:spacing w:after="0"/>
              <w:rPr>
                <w:sz w:val="1"/>
                <w:szCs w:val="1"/>
                <w:color w:val="auto"/>
              </w:rPr>
            </w:pPr>
          </w:p>
        </w:tc>
      </w:tr>
      <w:tr>
        <w:trPr>
          <w:trHeight w:val="140"/>
        </w:trPr>
        <w:tc>
          <w:tcPr>
            <w:tcW w:w="2060" w:type="dxa"/>
            <w:vAlign w:val="bottom"/>
            <w:gridSpan w:val="2"/>
            <w:vMerge w:val="continue"/>
          </w:tcPr>
          <w:p>
            <w:pPr>
              <w:spacing w:after="0"/>
              <w:rPr>
                <w:sz w:val="12"/>
                <w:szCs w:val="12"/>
                <w:color w:val="auto"/>
              </w:rPr>
            </w:pPr>
          </w:p>
        </w:tc>
        <w:tc>
          <w:tcPr>
            <w:tcW w:w="9240" w:type="dxa"/>
            <w:vAlign w:val="bottom"/>
          </w:tcPr>
          <w:p>
            <w:pPr>
              <w:ind w:left="260"/>
              <w:spacing w:after="0" w:line="140" w:lineRule="exact"/>
              <w:rPr>
                <w:sz w:val="20"/>
                <w:szCs w:val="20"/>
                <w:color w:val="auto"/>
              </w:rPr>
            </w:pPr>
            <w:r>
              <w:rPr>
                <w:rFonts w:ascii="Arial" w:cs="Arial" w:eastAsia="Arial" w:hAnsi="Arial"/>
                <w:sz w:val="13"/>
                <w:szCs w:val="13"/>
                <w:color w:val="auto"/>
              </w:rPr>
              <w:t>compensation data for companies that are engaged in business and technology services like us taking into account whether the companies had market</w:t>
            </w:r>
          </w:p>
        </w:tc>
        <w:tc>
          <w:tcPr>
            <w:tcW w:w="0" w:type="dxa"/>
            <w:vAlign w:val="bottom"/>
          </w:tcPr>
          <w:p>
            <w:pPr>
              <w:spacing w:after="0"/>
              <w:rPr>
                <w:sz w:val="1"/>
                <w:szCs w:val="1"/>
                <w:color w:val="auto"/>
              </w:rPr>
            </w:pPr>
          </w:p>
        </w:tc>
      </w:tr>
      <w:tr>
        <w:trPr>
          <w:trHeight w:val="146"/>
        </w:trPr>
        <w:tc>
          <w:tcPr>
            <w:tcW w:w="206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Independent Compensation</w:t>
            </w:r>
          </w:p>
        </w:tc>
        <w:tc>
          <w:tcPr>
            <w:tcW w:w="9240" w:type="dxa"/>
            <w:vAlign w:val="bottom"/>
          </w:tcPr>
          <w:p>
            <w:pPr>
              <w:ind w:left="260"/>
              <w:spacing w:after="0" w:line="146" w:lineRule="exact"/>
              <w:rPr>
                <w:sz w:val="20"/>
                <w:szCs w:val="20"/>
                <w:color w:val="auto"/>
              </w:rPr>
            </w:pPr>
            <w:r>
              <w:rPr>
                <w:rFonts w:ascii="Arial" w:cs="Arial" w:eastAsia="Arial" w:hAnsi="Arial"/>
                <w:sz w:val="13"/>
                <w:szCs w:val="13"/>
                <w:color w:val="auto"/>
                <w:w w:val="99"/>
              </w:rPr>
              <w:t>capitalizations, geographic locations, or annual revenues similar to ours. The companies that comprised our peer group for 2020 were as follows: Blackbaud,</w:t>
            </w:r>
          </w:p>
        </w:tc>
        <w:tc>
          <w:tcPr>
            <w:tcW w:w="0" w:type="dxa"/>
            <w:vAlign w:val="bottom"/>
          </w:tcPr>
          <w:p>
            <w:pPr>
              <w:spacing w:after="0"/>
              <w:rPr>
                <w:sz w:val="1"/>
                <w:szCs w:val="1"/>
                <w:color w:val="auto"/>
              </w:rPr>
            </w:pPr>
          </w:p>
        </w:tc>
      </w:tr>
      <w:tr>
        <w:trPr>
          <w:trHeight w:val="168"/>
        </w:trPr>
        <w:tc>
          <w:tcPr>
            <w:tcW w:w="2060" w:type="dxa"/>
            <w:vAlign w:val="bottom"/>
            <w:gridSpan w:val="2"/>
          </w:tcPr>
          <w:p>
            <w:pPr>
              <w:spacing w:after="0"/>
              <w:rPr>
                <w:sz w:val="20"/>
                <w:szCs w:val="20"/>
                <w:color w:val="auto"/>
              </w:rPr>
            </w:pPr>
            <w:r>
              <w:rPr>
                <w:rFonts w:ascii="Arial" w:cs="Arial" w:eastAsia="Arial" w:hAnsi="Arial"/>
                <w:sz w:val="13"/>
                <w:szCs w:val="13"/>
                <w:b w:val="1"/>
                <w:bCs w:val="1"/>
                <w:color w:val="auto"/>
              </w:rPr>
              <w:t>Consultants</w:t>
            </w:r>
          </w:p>
        </w:tc>
        <w:tc>
          <w:tcPr>
            <w:tcW w:w="9240" w:type="dxa"/>
            <w:vAlign w:val="bottom"/>
          </w:tcPr>
          <w:p>
            <w:pPr>
              <w:ind w:left="260"/>
              <w:spacing w:after="0"/>
              <w:rPr>
                <w:sz w:val="20"/>
                <w:szCs w:val="20"/>
                <w:color w:val="auto"/>
              </w:rPr>
            </w:pPr>
            <w:r>
              <w:rPr>
                <w:rFonts w:ascii="Arial" w:cs="Arial" w:eastAsia="Arial" w:hAnsi="Arial"/>
                <w:sz w:val="13"/>
                <w:szCs w:val="13"/>
                <w:color w:val="auto"/>
              </w:rPr>
              <w:t>CoreLogic, CSG Systems International, EPAM Systems, Genpact, Guidewire, Sykes Enterprises, Virtusa, and WNS Holdings.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240" w:type="dxa"/>
            <w:vAlign w:val="bottom"/>
          </w:tcPr>
          <w:p>
            <w:pPr>
              <w:ind w:left="260"/>
              <w:spacing w:after="0"/>
              <w:rPr>
                <w:sz w:val="20"/>
                <w:szCs w:val="20"/>
                <w:color w:val="auto"/>
              </w:rPr>
            </w:pPr>
            <w:r>
              <w:rPr>
                <w:rFonts w:ascii="Arial" w:cs="Arial" w:eastAsia="Arial" w:hAnsi="Arial"/>
                <w:sz w:val="13"/>
                <w:szCs w:val="13"/>
                <w:color w:val="auto"/>
                <w:w w:val="99"/>
              </w:rPr>
              <w:t>Management also separately engaged Aon Consulting in 2019 for the purpose of providing a survey of compensation data (the parameters of which were not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240" w:type="dxa"/>
            <w:vAlign w:val="bottom"/>
          </w:tcPr>
          <w:p>
            <w:pPr>
              <w:ind w:left="260"/>
              <w:spacing w:after="0" w:line="146" w:lineRule="exact"/>
              <w:rPr>
                <w:sz w:val="20"/>
                <w:szCs w:val="20"/>
                <w:color w:val="auto"/>
              </w:rPr>
            </w:pPr>
            <w:r>
              <w:rPr>
                <w:rFonts w:ascii="Arial" w:cs="Arial" w:eastAsia="Arial" w:hAnsi="Arial"/>
                <w:sz w:val="13"/>
                <w:szCs w:val="13"/>
                <w:color w:val="auto"/>
              </w:rPr>
              <w:t>prepared by Aon Consulting) for individuals in our global industry holding analogous positions to our executive officers. While the Compensation Committee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240" w:type="dxa"/>
            <w:vAlign w:val="bottom"/>
          </w:tcPr>
          <w:p>
            <w:pPr>
              <w:ind w:left="260"/>
              <w:spacing w:after="0" w:line="146" w:lineRule="exact"/>
              <w:rPr>
                <w:sz w:val="20"/>
                <w:szCs w:val="20"/>
                <w:color w:val="auto"/>
              </w:rPr>
            </w:pPr>
            <w:r>
              <w:rPr>
                <w:rFonts w:ascii="Arial" w:cs="Arial" w:eastAsia="Arial" w:hAnsi="Arial"/>
                <w:sz w:val="13"/>
                <w:szCs w:val="13"/>
                <w:color w:val="auto"/>
                <w:w w:val="99"/>
              </w:rPr>
              <w:t>reviewed and considered the data provided by these surveys, it did not consider or review the compensation paid to executives at the component companies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240" w:type="dxa"/>
            <w:vAlign w:val="bottom"/>
          </w:tcPr>
          <w:p>
            <w:pPr>
              <w:ind w:left="260"/>
              <w:spacing w:after="0"/>
              <w:rPr>
                <w:sz w:val="20"/>
                <w:szCs w:val="20"/>
                <w:color w:val="auto"/>
              </w:rPr>
            </w:pPr>
            <w:r>
              <w:rPr>
                <w:rFonts w:ascii="Arial" w:cs="Arial" w:eastAsia="Arial" w:hAnsi="Arial"/>
                <w:sz w:val="13"/>
                <w:szCs w:val="13"/>
                <w:color w:val="auto"/>
                <w:w w:val="99"/>
              </w:rPr>
              <w:t>included within such surveys and did not use this information or any other data as a definitive benchmark to set executive compensation for fiscal year 2020.</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240" w:type="dxa"/>
            <w:vAlign w:val="bottom"/>
          </w:tcPr>
          <w:p>
            <w:pPr>
              <w:ind w:left="260"/>
              <w:spacing w:after="0"/>
              <w:rPr>
                <w:sz w:val="20"/>
                <w:szCs w:val="20"/>
                <w:color w:val="auto"/>
              </w:rPr>
            </w:pPr>
            <w:r>
              <w:rPr>
                <w:rFonts w:ascii="Arial" w:cs="Arial" w:eastAsia="Arial" w:hAnsi="Arial"/>
                <w:sz w:val="13"/>
                <w:szCs w:val="13"/>
                <w:color w:val="auto"/>
                <w:w w:val="99"/>
              </w:rPr>
              <w:t>Our Compensation Committee reviews compensation information provided by FW Cook and other third party data in order to evaluate each executive's base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240" w:type="dxa"/>
            <w:vAlign w:val="bottom"/>
          </w:tcPr>
          <w:p>
            <w:pPr>
              <w:ind w:left="260"/>
              <w:spacing w:after="0" w:line="146" w:lineRule="exact"/>
              <w:rPr>
                <w:sz w:val="20"/>
                <w:szCs w:val="20"/>
                <w:color w:val="auto"/>
              </w:rPr>
            </w:pPr>
            <w:r>
              <w:rPr>
                <w:rFonts w:ascii="Arial" w:cs="Arial" w:eastAsia="Arial" w:hAnsi="Arial"/>
                <w:sz w:val="13"/>
                <w:szCs w:val="13"/>
                <w:color w:val="auto"/>
                <w:w w:val="98"/>
              </w:rPr>
              <w:t>pay, incentive bonus and equity incentives when changes in compensation are considered. Compensation decisions are designed to promote our fundamental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240" w:type="dxa"/>
            <w:vAlign w:val="bottom"/>
          </w:tcPr>
          <w:p>
            <w:pPr>
              <w:ind w:left="260"/>
              <w:spacing w:after="0"/>
              <w:rPr>
                <w:sz w:val="20"/>
                <w:szCs w:val="20"/>
                <w:color w:val="auto"/>
              </w:rPr>
            </w:pPr>
            <w:r>
              <w:rPr>
                <w:rFonts w:ascii="Arial" w:cs="Arial" w:eastAsia="Arial" w:hAnsi="Arial"/>
                <w:sz w:val="13"/>
                <w:szCs w:val="13"/>
                <w:color w:val="auto"/>
              </w:rPr>
              <w:t>business objectives and strategy.</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240" w:type="dxa"/>
            <w:vAlign w:val="bottom"/>
          </w:tcPr>
          <w:p>
            <w:pPr>
              <w:ind w:left="260"/>
              <w:spacing w:after="0"/>
              <w:rPr>
                <w:sz w:val="20"/>
                <w:szCs w:val="20"/>
                <w:color w:val="auto"/>
              </w:rPr>
            </w:pPr>
            <w:r>
              <w:rPr>
                <w:rFonts w:ascii="Arial" w:cs="Arial" w:eastAsia="Arial" w:hAnsi="Arial"/>
                <w:sz w:val="13"/>
                <w:szCs w:val="13"/>
                <w:color w:val="auto"/>
              </w:rPr>
              <w:t>Our Compensation Committee uses the compensation data to obtain a general understanding of current market practices, so it can design our executive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tcBorders>
              <w:bottom w:val="single" w:sz="8" w:color="479EFF"/>
            </w:tcBorders>
          </w:tcPr>
          <w:p>
            <w:pPr>
              <w:spacing w:after="0"/>
              <w:rPr>
                <w:sz w:val="13"/>
                <w:szCs w:val="13"/>
                <w:color w:val="auto"/>
              </w:rPr>
            </w:pPr>
          </w:p>
        </w:tc>
        <w:tc>
          <w:tcPr>
            <w:tcW w:w="9240" w:type="dxa"/>
            <w:vAlign w:val="bottom"/>
            <w:tcBorders>
              <w:bottom w:val="single" w:sz="8" w:color="479EFF"/>
            </w:tcBorders>
          </w:tcPr>
          <w:p>
            <w:pPr>
              <w:ind w:left="260"/>
              <w:spacing w:after="0" w:line="144" w:lineRule="exact"/>
              <w:rPr>
                <w:sz w:val="20"/>
                <w:szCs w:val="20"/>
                <w:color w:val="auto"/>
              </w:rPr>
            </w:pPr>
            <w:r>
              <w:rPr>
                <w:rFonts w:ascii="Arial" w:cs="Arial" w:eastAsia="Arial" w:hAnsi="Arial"/>
                <w:sz w:val="13"/>
                <w:szCs w:val="13"/>
                <w:color w:val="auto"/>
              </w:rPr>
              <w:t>compensation program to be competitive. Market data is not used exclusively, but rather as a point of reference to draw comparisons and distinctions.</w:t>
            </w:r>
          </w:p>
        </w:tc>
        <w:tc>
          <w:tcPr>
            <w:tcW w:w="0" w:type="dxa"/>
            <w:vAlign w:val="bottom"/>
          </w:tcPr>
          <w:p>
            <w:pPr>
              <w:spacing w:after="0"/>
              <w:rPr>
                <w:sz w:val="1"/>
                <w:szCs w:val="1"/>
                <w:color w:val="auto"/>
              </w:rPr>
            </w:pPr>
          </w:p>
        </w:tc>
      </w:tr>
      <w:tr>
        <w:trPr>
          <w:trHeight w:val="660"/>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240" w:type="dxa"/>
            <w:vAlign w:val="bottom"/>
          </w:tcPr>
          <w:p>
            <w:pPr>
              <w:ind w:left="8800"/>
              <w:spacing w:after="0"/>
              <w:rPr>
                <w:sz w:val="20"/>
                <w:szCs w:val="20"/>
                <w:color w:val="auto"/>
              </w:rPr>
            </w:pPr>
            <w:r>
              <w:rPr>
                <w:rFonts w:ascii="Arial" w:cs="Arial" w:eastAsia="Arial" w:hAnsi="Arial"/>
                <w:sz w:val="13"/>
                <w:szCs w:val="13"/>
                <w:color w:val="FFFFFE"/>
              </w:rPr>
              <w:t>71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-12065</wp:posOffset>
            </wp:positionV>
            <wp:extent cx="1270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-496570</wp:posOffset>
            </wp:positionV>
            <wp:extent cx="1408430" cy="3333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2" w:name="page73"/>
    <w:bookmarkEnd w:id="72"/>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Components of Executive Compensation for 2020</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For 2020, the compensation of executive officers consisted of the following five primary components: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720" w:type="dxa"/>
            <w:vAlign w:val="bottom"/>
            <w:tcBorders>
              <w:bottom w:val="single" w:sz="8" w:color="479EFF"/>
            </w:tcBorders>
            <w:gridSpan w:val="2"/>
          </w:tcPr>
          <w:p>
            <w:pPr>
              <w:spacing w:after="0"/>
              <w:rPr>
                <w:sz w:val="20"/>
                <w:szCs w:val="20"/>
                <w:color w:val="auto"/>
              </w:rPr>
            </w:pPr>
            <w:r>
              <w:rPr>
                <w:rFonts w:ascii="Arial" w:cs="Arial" w:eastAsia="Arial" w:hAnsi="Arial"/>
                <w:sz w:val="10"/>
                <w:szCs w:val="10"/>
                <w:b w:val="1"/>
                <w:bCs w:val="1"/>
                <w:color w:val="479EFF"/>
              </w:rPr>
              <w:t>Compensation Component</w:t>
            </w:r>
          </w:p>
        </w:tc>
        <w:tc>
          <w:tcPr>
            <w:tcW w:w="4400" w:type="dxa"/>
            <w:vAlign w:val="bottom"/>
            <w:tcBorders>
              <w:bottom w:val="single" w:sz="8" w:color="479EFF"/>
            </w:tcBorders>
          </w:tcPr>
          <w:p>
            <w:pPr>
              <w:ind w:left="100"/>
              <w:spacing w:after="0"/>
              <w:rPr>
                <w:sz w:val="20"/>
                <w:szCs w:val="20"/>
                <w:color w:val="auto"/>
              </w:rPr>
            </w:pPr>
            <w:r>
              <w:rPr>
                <w:rFonts w:ascii="Arial" w:cs="Arial" w:eastAsia="Arial" w:hAnsi="Arial"/>
                <w:sz w:val="10"/>
                <w:szCs w:val="10"/>
                <w:b w:val="1"/>
                <w:bCs w:val="1"/>
                <w:color w:val="479EFF"/>
              </w:rPr>
              <w:t>Description</w:t>
            </w:r>
          </w:p>
        </w:tc>
        <w:tc>
          <w:tcPr>
            <w:tcW w:w="4180" w:type="dxa"/>
            <w:vAlign w:val="bottom"/>
            <w:tcBorders>
              <w:bottom w:val="single" w:sz="8" w:color="479EFF"/>
            </w:tcBorders>
          </w:tcPr>
          <w:p>
            <w:pPr>
              <w:ind w:left="120"/>
              <w:spacing w:after="0"/>
              <w:rPr>
                <w:sz w:val="20"/>
                <w:szCs w:val="20"/>
                <w:color w:val="auto"/>
              </w:rPr>
            </w:pPr>
            <w:r>
              <w:rPr>
                <w:rFonts w:ascii="Arial" w:cs="Arial" w:eastAsia="Arial" w:hAnsi="Arial"/>
                <w:sz w:val="10"/>
                <w:szCs w:val="10"/>
                <w:b w:val="1"/>
                <w:bCs w:val="1"/>
                <w:color w:val="479EFF"/>
              </w:rPr>
              <w:t>Objectives</w:t>
            </w:r>
          </w:p>
        </w:tc>
        <w:tc>
          <w:tcPr>
            <w:tcW w:w="0" w:type="dxa"/>
            <w:vAlign w:val="bottom"/>
          </w:tcPr>
          <w:p>
            <w:pPr>
              <w:spacing w:after="0"/>
              <w:rPr>
                <w:sz w:val="1"/>
                <w:szCs w:val="1"/>
                <w:color w:val="auto"/>
              </w:rPr>
            </w:pPr>
          </w:p>
        </w:tc>
      </w:tr>
      <w:tr>
        <w:trPr>
          <w:trHeight w:val="148"/>
        </w:trPr>
        <w:tc>
          <w:tcPr>
            <w:tcW w:w="272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rPr>
              <w:t>Base Salary</w:t>
            </w:r>
          </w:p>
        </w:tc>
        <w:tc>
          <w:tcPr>
            <w:tcW w:w="4400" w:type="dxa"/>
            <w:vAlign w:val="bottom"/>
            <w:tcBorders>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Fixed compensation that is reviewed annually and is based on</w:t>
            </w:r>
          </w:p>
        </w:tc>
        <w:tc>
          <w:tcPr>
            <w:tcW w:w="4180" w:type="dxa"/>
            <w:vAlign w:val="bottom"/>
          </w:tcPr>
          <w:p>
            <w:pPr>
              <w:ind w:left="120"/>
              <w:spacing w:after="0" w:line="148" w:lineRule="exact"/>
              <w:rPr>
                <w:sz w:val="20"/>
                <w:szCs w:val="20"/>
                <w:color w:val="auto"/>
              </w:rPr>
            </w:pPr>
            <w:r>
              <w:rPr>
                <w:rFonts w:ascii="Arial" w:cs="Arial" w:eastAsia="Arial" w:hAnsi="Arial"/>
                <w:sz w:val="13"/>
                <w:szCs w:val="13"/>
                <w:color w:val="auto"/>
              </w:rPr>
              <w:t>Provide a base level of compensation that corresponds to the job</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440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performance, experience, responsibilities, skill set and market value.</w:t>
            </w:r>
          </w:p>
        </w:tc>
        <w:tc>
          <w:tcPr>
            <w:tcW w:w="4180" w:type="dxa"/>
            <w:vAlign w:val="bottom"/>
          </w:tcPr>
          <w:p>
            <w:pPr>
              <w:ind w:left="120"/>
              <w:spacing w:after="0"/>
              <w:rPr>
                <w:sz w:val="20"/>
                <w:szCs w:val="20"/>
                <w:color w:val="auto"/>
              </w:rPr>
            </w:pPr>
            <w:r>
              <w:rPr>
                <w:rFonts w:ascii="Arial" w:cs="Arial" w:eastAsia="Arial" w:hAnsi="Arial"/>
                <w:sz w:val="13"/>
                <w:szCs w:val="13"/>
                <w:color w:val="auto"/>
              </w:rPr>
              <w:t>function performed.</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2700" w:type="dxa"/>
            <w:vAlign w:val="bottom"/>
            <w:tcBorders>
              <w:right w:val="single" w:sz="8" w:color="auto"/>
            </w:tcBorders>
          </w:tcPr>
          <w:p>
            <w:pPr>
              <w:spacing w:after="0"/>
              <w:rPr>
                <w:sz w:val="24"/>
                <w:szCs w:val="24"/>
                <w:color w:val="auto"/>
              </w:rPr>
            </w:pPr>
          </w:p>
        </w:tc>
        <w:tc>
          <w:tcPr>
            <w:tcW w:w="4400" w:type="dxa"/>
            <w:vAlign w:val="bottom"/>
            <w:tcBorders>
              <w:right w:val="single" w:sz="8" w:color="auto"/>
            </w:tcBorders>
          </w:tcPr>
          <w:p>
            <w:pPr>
              <w:spacing w:after="0"/>
              <w:rPr>
                <w:sz w:val="24"/>
                <w:szCs w:val="24"/>
                <w:color w:val="auto"/>
              </w:rPr>
            </w:pPr>
          </w:p>
        </w:tc>
        <w:tc>
          <w:tcPr>
            <w:tcW w:w="4180" w:type="dxa"/>
            <w:vAlign w:val="bottom"/>
          </w:tcPr>
          <w:p>
            <w:pPr>
              <w:ind w:left="120"/>
              <w:spacing w:after="0"/>
              <w:rPr>
                <w:sz w:val="20"/>
                <w:szCs w:val="20"/>
                <w:color w:val="auto"/>
              </w:rPr>
            </w:pPr>
            <w:r>
              <w:rPr>
                <w:rFonts w:ascii="Arial" w:cs="Arial" w:eastAsia="Arial" w:hAnsi="Arial"/>
                <w:sz w:val="13"/>
                <w:szCs w:val="13"/>
                <w:color w:val="auto"/>
              </w:rPr>
              <w:t>Attract, retain, reward and motivate qualified and experienced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4400" w:type="dxa"/>
            <w:vAlign w:val="bottom"/>
            <w:tcBorders>
              <w:bottom w:val="single" w:sz="8" w:color="auto"/>
              <w:right w:val="single" w:sz="8" w:color="auto"/>
            </w:tcBorders>
          </w:tcPr>
          <w:p>
            <w:pPr>
              <w:spacing w:after="0"/>
              <w:rPr>
                <w:sz w:val="12"/>
                <w:szCs w:val="12"/>
                <w:color w:val="auto"/>
              </w:rPr>
            </w:pPr>
          </w:p>
        </w:tc>
        <w:tc>
          <w:tcPr>
            <w:tcW w:w="418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color w:val="auto"/>
              </w:rPr>
              <w:t>executives.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0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Annual Incentives</w:t>
            </w:r>
          </w:p>
        </w:tc>
        <w:tc>
          <w:tcPr>
            <w:tcW w:w="440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"At-risk" compensation earned based on performance measured against</w:t>
            </w:r>
          </w:p>
        </w:tc>
        <w:tc>
          <w:tcPr>
            <w:tcW w:w="4180" w:type="dxa"/>
            <w:vAlign w:val="bottom"/>
          </w:tcPr>
          <w:p>
            <w:pPr>
              <w:ind w:left="120"/>
              <w:spacing w:after="0" w:line="138" w:lineRule="exact"/>
              <w:rPr>
                <w:sz w:val="20"/>
                <w:szCs w:val="20"/>
                <w:color w:val="auto"/>
              </w:rPr>
            </w:pPr>
            <w:r>
              <w:rPr>
                <w:rFonts w:ascii="Arial" w:cs="Arial" w:eastAsia="Arial" w:hAnsi="Arial"/>
                <w:sz w:val="13"/>
                <w:szCs w:val="13"/>
                <w:color w:val="auto"/>
                <w:w w:val="98"/>
              </w:rPr>
              <w:t>Incentivize executives to achieve annual goals that ultimately contribute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Borders>
              <w:right w:val="single" w:sz="8" w:color="auto"/>
            </w:tcBorders>
          </w:tcPr>
          <w:p>
            <w:pPr>
              <w:spacing w:after="0"/>
              <w:rPr>
                <w:sz w:val="12"/>
                <w:szCs w:val="12"/>
                <w:color w:val="auto"/>
              </w:rPr>
            </w:pPr>
          </w:p>
        </w:tc>
        <w:tc>
          <w:tcPr>
            <w:tcW w:w="44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pre-established annual goals.</w:t>
            </w:r>
          </w:p>
        </w:tc>
        <w:tc>
          <w:tcPr>
            <w:tcW w:w="4180" w:type="dxa"/>
            <w:vAlign w:val="bottom"/>
          </w:tcPr>
          <w:p>
            <w:pPr>
              <w:ind w:left="120"/>
              <w:spacing w:after="0" w:line="146" w:lineRule="exact"/>
              <w:rPr>
                <w:sz w:val="20"/>
                <w:szCs w:val="20"/>
                <w:color w:val="auto"/>
              </w:rPr>
            </w:pPr>
            <w:r>
              <w:rPr>
                <w:rFonts w:ascii="Arial" w:cs="Arial" w:eastAsia="Arial" w:hAnsi="Arial"/>
                <w:sz w:val="13"/>
                <w:szCs w:val="13"/>
                <w:color w:val="auto"/>
              </w:rPr>
              <w:t>to long-term company growth and stockholder return.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440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Goals are tailored to each executive's position.</w:t>
            </w:r>
          </w:p>
        </w:tc>
        <w:tc>
          <w:tcPr>
            <w:tcW w:w="4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0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Long-Term Incentives</w:t>
            </w:r>
          </w:p>
        </w:tc>
        <w:tc>
          <w:tcPr>
            <w:tcW w:w="440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"At-risk" compensation in the form of restricted stock unit awards whose</w:t>
            </w:r>
          </w:p>
        </w:tc>
        <w:tc>
          <w:tcPr>
            <w:tcW w:w="4180" w:type="dxa"/>
            <w:vAlign w:val="bottom"/>
          </w:tcPr>
          <w:p>
            <w:pPr>
              <w:ind w:left="120"/>
              <w:spacing w:after="0" w:line="138" w:lineRule="exact"/>
              <w:rPr>
                <w:sz w:val="20"/>
                <w:szCs w:val="20"/>
                <w:color w:val="auto"/>
              </w:rPr>
            </w:pPr>
            <w:r>
              <w:rPr>
                <w:rFonts w:ascii="Arial" w:cs="Arial" w:eastAsia="Arial" w:hAnsi="Arial"/>
                <w:sz w:val="13"/>
                <w:szCs w:val="13"/>
                <w:color w:val="auto"/>
              </w:rPr>
              <w:t>Align executive interests with those of stockholders.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440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value fluctuates according to stockholder value.</w:t>
            </w:r>
          </w:p>
        </w:tc>
        <w:tc>
          <w:tcPr>
            <w:tcW w:w="4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00" w:type="dxa"/>
            <w:vAlign w:val="bottom"/>
            <w:tcBorders>
              <w:right w:val="single" w:sz="8" w:color="auto"/>
            </w:tcBorders>
          </w:tcPr>
          <w:p>
            <w:pPr>
              <w:spacing w:after="0"/>
              <w:rPr>
                <w:sz w:val="13"/>
                <w:szCs w:val="13"/>
                <w:color w:val="auto"/>
              </w:rPr>
            </w:pPr>
          </w:p>
        </w:tc>
        <w:tc>
          <w:tcPr>
            <w:tcW w:w="4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color w:val="auto"/>
              </w:rPr>
              <w:t>50% of the award vests based on continued service.</w:t>
            </w:r>
          </w:p>
        </w:tc>
        <w:tc>
          <w:tcPr>
            <w:tcW w:w="4180" w:type="dxa"/>
            <w:vAlign w:val="bottom"/>
          </w:tcPr>
          <w:p>
            <w:pPr>
              <w:ind w:left="120"/>
              <w:spacing w:after="0"/>
              <w:rPr>
                <w:sz w:val="20"/>
                <w:szCs w:val="20"/>
                <w:color w:val="auto"/>
              </w:rPr>
            </w:pPr>
            <w:r>
              <w:rPr>
                <w:rFonts w:ascii="Arial" w:cs="Arial" w:eastAsia="Arial" w:hAnsi="Arial"/>
                <w:sz w:val="13"/>
                <w:szCs w:val="13"/>
                <w:color w:val="auto"/>
              </w:rPr>
              <w:t>Reward continuous service with the company.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Borders>
              <w:right w:val="single" w:sz="8" w:color="auto"/>
            </w:tcBorders>
          </w:tcPr>
          <w:p>
            <w:pPr>
              <w:spacing w:after="0"/>
              <w:rPr>
                <w:sz w:val="12"/>
                <w:szCs w:val="12"/>
                <w:color w:val="auto"/>
              </w:rPr>
            </w:pPr>
          </w:p>
        </w:tc>
        <w:tc>
          <w:tcPr>
            <w:tcW w:w="4400" w:type="dxa"/>
            <w:vAlign w:val="bottom"/>
            <w:tcBorders>
              <w:right w:val="single" w:sz="8" w:color="auto"/>
            </w:tcBorders>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Borders>
              <w:right w:val="single" w:sz="8" w:color="auto"/>
            </w:tcBorders>
          </w:tcPr>
          <w:p>
            <w:pPr>
              <w:spacing w:after="0"/>
              <w:rPr>
                <w:sz w:val="12"/>
                <w:szCs w:val="12"/>
                <w:color w:val="auto"/>
              </w:rPr>
            </w:pPr>
          </w:p>
        </w:tc>
        <w:tc>
          <w:tcPr>
            <w:tcW w:w="4400" w:type="dxa"/>
            <w:vAlign w:val="bottom"/>
            <w:tcBorders>
              <w:right w:val="single" w:sz="8" w:color="auto"/>
            </w:tcBorders>
          </w:tcPr>
          <w:p>
            <w:pPr>
              <w:spacing w:after="0"/>
              <w:rPr>
                <w:sz w:val="12"/>
                <w:szCs w:val="12"/>
                <w:color w:val="auto"/>
              </w:rPr>
            </w:pPr>
          </w:p>
        </w:tc>
        <w:tc>
          <w:tcPr>
            <w:tcW w:w="4180" w:type="dxa"/>
            <w:vAlign w:val="bottom"/>
          </w:tcPr>
          <w:p>
            <w:pPr>
              <w:ind w:left="120"/>
              <w:spacing w:after="0"/>
              <w:rPr>
                <w:sz w:val="20"/>
                <w:szCs w:val="20"/>
                <w:color w:val="auto"/>
              </w:rPr>
            </w:pPr>
            <w:r>
              <w:rPr>
                <w:rFonts w:ascii="Arial" w:cs="Arial" w:eastAsia="Arial" w:hAnsi="Arial"/>
                <w:sz w:val="13"/>
                <w:szCs w:val="13"/>
                <w:color w:val="auto"/>
                <w:w w:val="97"/>
              </w:rPr>
              <w:t>Incentivize executives to achieve goals that drive company performance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Borders>
              <w:right w:val="single" w:sz="8" w:color="auto"/>
            </w:tcBorders>
          </w:tcPr>
          <w:p>
            <w:pPr>
              <w:spacing w:after="0"/>
              <w:rPr>
                <w:sz w:val="12"/>
                <w:szCs w:val="12"/>
                <w:color w:val="auto"/>
              </w:rPr>
            </w:pPr>
          </w:p>
        </w:tc>
        <w:tc>
          <w:tcPr>
            <w:tcW w:w="44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50% vests based on achievement of revenue and total stockholder</w:t>
            </w:r>
          </w:p>
        </w:tc>
        <w:tc>
          <w:tcPr>
            <w:tcW w:w="4180" w:type="dxa"/>
            <w:vAlign w:val="bottom"/>
          </w:tcPr>
          <w:p>
            <w:pPr>
              <w:ind w:left="120"/>
              <w:spacing w:after="0" w:line="146" w:lineRule="exact"/>
              <w:rPr>
                <w:sz w:val="20"/>
                <w:szCs w:val="20"/>
                <w:color w:val="auto"/>
              </w:rPr>
            </w:pPr>
            <w:r>
              <w:rPr>
                <w:rFonts w:ascii="Arial" w:cs="Arial" w:eastAsia="Arial" w:hAnsi="Arial"/>
                <w:sz w:val="13"/>
                <w:szCs w:val="13"/>
                <w:color w:val="auto"/>
              </w:rPr>
              <w:t>over the long-term.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440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return goals.</w:t>
            </w:r>
          </w:p>
        </w:tc>
        <w:tc>
          <w:tcPr>
            <w:tcW w:w="4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0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Other Benefits</w:t>
            </w:r>
          </w:p>
        </w:tc>
        <w:tc>
          <w:tcPr>
            <w:tcW w:w="440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3"/>
                <w:szCs w:val="13"/>
                <w:color w:val="auto"/>
              </w:rPr>
              <w:t>Broad-based benefits provided to company employees (e.g., health and</w:t>
            </w:r>
          </w:p>
        </w:tc>
        <w:tc>
          <w:tcPr>
            <w:tcW w:w="4180" w:type="dxa"/>
            <w:vAlign w:val="bottom"/>
          </w:tcPr>
          <w:p>
            <w:pPr>
              <w:ind w:left="120"/>
              <w:spacing w:after="0" w:line="138" w:lineRule="exact"/>
              <w:rPr>
                <w:sz w:val="20"/>
                <w:szCs w:val="20"/>
                <w:color w:val="auto"/>
              </w:rPr>
            </w:pPr>
            <w:r>
              <w:rPr>
                <w:rFonts w:ascii="Arial" w:cs="Arial" w:eastAsia="Arial" w:hAnsi="Arial"/>
                <w:sz w:val="13"/>
                <w:szCs w:val="13"/>
                <w:color w:val="auto"/>
              </w:rPr>
              <w:t>Provide a total compensation package that is competitive with the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Borders>
              <w:right w:val="single" w:sz="8" w:color="auto"/>
            </w:tcBorders>
          </w:tcPr>
          <w:p>
            <w:pPr>
              <w:spacing w:after="0"/>
              <w:rPr>
                <w:sz w:val="12"/>
                <w:szCs w:val="12"/>
                <w:color w:val="auto"/>
              </w:rPr>
            </w:pPr>
          </w:p>
        </w:tc>
        <w:tc>
          <w:tcPr>
            <w:tcW w:w="44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group insurance), a retirement savings plan and other personal benefits</w:t>
            </w:r>
          </w:p>
        </w:tc>
        <w:tc>
          <w:tcPr>
            <w:tcW w:w="4180" w:type="dxa"/>
            <w:vAlign w:val="bottom"/>
          </w:tcPr>
          <w:p>
            <w:pPr>
              <w:ind w:left="120"/>
              <w:spacing w:after="0" w:line="146" w:lineRule="exact"/>
              <w:rPr>
                <w:sz w:val="20"/>
                <w:szCs w:val="20"/>
                <w:color w:val="auto"/>
              </w:rPr>
            </w:pPr>
            <w:r>
              <w:rPr>
                <w:rFonts w:ascii="Arial" w:cs="Arial" w:eastAsia="Arial" w:hAnsi="Arial"/>
                <w:sz w:val="13"/>
                <w:szCs w:val="13"/>
                <w:color w:val="auto"/>
              </w:rPr>
              <w:t>marketplace and addresses unique needs, especially for overseas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4400" w:type="dxa"/>
            <w:vAlign w:val="bottom"/>
            <w:tcBorders>
              <w:bottom w:val="single" w:sz="8" w:color="auto"/>
              <w:right w:val="single" w:sz="8" w:color="auto"/>
            </w:tcBorders>
          </w:tcPr>
          <w:p>
            <w:pPr>
              <w:ind w:left="100"/>
              <w:spacing w:after="0" w:line="144" w:lineRule="exact"/>
              <w:rPr>
                <w:sz w:val="20"/>
                <w:szCs w:val="20"/>
                <w:color w:val="auto"/>
              </w:rPr>
            </w:pPr>
            <w:r>
              <w:rPr>
                <w:rFonts w:ascii="Arial" w:cs="Arial" w:eastAsia="Arial" w:hAnsi="Arial"/>
                <w:sz w:val="13"/>
                <w:szCs w:val="13"/>
                <w:color w:val="auto"/>
              </w:rPr>
              <w:t>where appropriate.</w:t>
            </w:r>
          </w:p>
        </w:tc>
        <w:tc>
          <w:tcPr>
            <w:tcW w:w="4180" w:type="dxa"/>
            <w:vAlign w:val="bottom"/>
            <w:tcBorders>
              <w:bottom w:val="single" w:sz="8" w:color="auto"/>
            </w:tcBorders>
          </w:tcPr>
          <w:p>
            <w:pPr>
              <w:ind w:left="120"/>
              <w:spacing w:after="0" w:line="144" w:lineRule="exact"/>
              <w:rPr>
                <w:sz w:val="20"/>
                <w:szCs w:val="20"/>
                <w:color w:val="auto"/>
              </w:rPr>
            </w:pPr>
            <w:r>
              <w:rPr>
                <w:rFonts w:ascii="Arial" w:cs="Arial" w:eastAsia="Arial" w:hAnsi="Arial"/>
                <w:sz w:val="13"/>
                <w:szCs w:val="13"/>
                <w:color w:val="auto"/>
              </w:rPr>
              <w:t>executives.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00" w:type="dxa"/>
            <w:vAlign w:val="bottom"/>
            <w:tcBorders>
              <w:right w:val="single" w:sz="8" w:color="auto"/>
            </w:tcBorders>
          </w:tcPr>
          <w:p>
            <w:pPr>
              <w:spacing w:after="0" w:line="122" w:lineRule="exact"/>
              <w:rPr>
                <w:sz w:val="20"/>
                <w:szCs w:val="20"/>
                <w:color w:val="auto"/>
              </w:rPr>
            </w:pPr>
            <w:r>
              <w:rPr>
                <w:rFonts w:ascii="Arial" w:cs="Arial" w:eastAsia="Arial" w:hAnsi="Arial"/>
                <w:sz w:val="13"/>
                <w:szCs w:val="13"/>
                <w:b w:val="1"/>
                <w:bCs w:val="1"/>
                <w:color w:val="auto"/>
              </w:rPr>
              <w:t>Severance and Change in Control</w:t>
            </w:r>
          </w:p>
        </w:tc>
        <w:tc>
          <w:tcPr>
            <w:tcW w:w="4400" w:type="dxa"/>
            <w:vAlign w:val="bottom"/>
            <w:tcBorders>
              <w:right w:val="single" w:sz="8" w:color="auto"/>
            </w:tcBorders>
          </w:tcPr>
          <w:p>
            <w:pPr>
              <w:ind w:left="100"/>
              <w:spacing w:after="0" w:line="122" w:lineRule="exact"/>
              <w:rPr>
                <w:sz w:val="20"/>
                <w:szCs w:val="20"/>
                <w:color w:val="auto"/>
              </w:rPr>
            </w:pPr>
            <w:r>
              <w:rPr>
                <w:rFonts w:ascii="Arial" w:cs="Arial" w:eastAsia="Arial" w:hAnsi="Arial"/>
                <w:sz w:val="13"/>
                <w:szCs w:val="13"/>
                <w:color w:val="auto"/>
              </w:rPr>
              <w:t>Protect executives during potentially tumultuous corporate transaction.</w:t>
            </w:r>
          </w:p>
        </w:tc>
        <w:tc>
          <w:tcPr>
            <w:tcW w:w="4180" w:type="dxa"/>
            <w:vAlign w:val="bottom"/>
          </w:tcPr>
          <w:p>
            <w:pPr>
              <w:ind w:left="120"/>
              <w:spacing w:after="0" w:line="122" w:lineRule="exact"/>
              <w:rPr>
                <w:sz w:val="20"/>
                <w:szCs w:val="20"/>
                <w:color w:val="auto"/>
              </w:rPr>
            </w:pPr>
            <w:r>
              <w:rPr>
                <w:rFonts w:ascii="Arial" w:cs="Arial" w:eastAsia="Arial" w:hAnsi="Arial"/>
                <w:sz w:val="13"/>
                <w:szCs w:val="13"/>
                <w:color w:val="auto"/>
              </w:rPr>
              <w:t>Allow executives to focus on generating stockholder value during a</w:t>
            </w:r>
          </w:p>
        </w:tc>
        <w:tc>
          <w:tcPr>
            <w:tcW w:w="0" w:type="dxa"/>
            <w:vAlign w:val="bottom"/>
          </w:tcPr>
          <w:p>
            <w:pPr>
              <w:spacing w:after="0"/>
              <w:rPr>
                <w:sz w:val="1"/>
                <w:szCs w:val="1"/>
                <w:color w:val="auto"/>
              </w:rPr>
            </w:pPr>
          </w:p>
        </w:tc>
      </w:tr>
      <w:tr>
        <w:trPr>
          <w:trHeight w:val="168"/>
        </w:trPr>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Protections</w:t>
            </w:r>
          </w:p>
        </w:tc>
        <w:tc>
          <w:tcPr>
            <w:tcW w:w="4400" w:type="dxa"/>
            <w:vAlign w:val="bottom"/>
            <w:tcBorders>
              <w:right w:val="single" w:sz="8" w:color="auto"/>
            </w:tcBorders>
          </w:tcPr>
          <w:p>
            <w:pPr>
              <w:spacing w:after="0"/>
              <w:rPr>
                <w:sz w:val="14"/>
                <w:szCs w:val="14"/>
                <w:color w:val="auto"/>
              </w:rPr>
            </w:pPr>
          </w:p>
        </w:tc>
        <w:tc>
          <w:tcPr>
            <w:tcW w:w="4180" w:type="dxa"/>
            <w:vAlign w:val="bottom"/>
          </w:tcPr>
          <w:p>
            <w:pPr>
              <w:ind w:left="120"/>
              <w:spacing w:after="0"/>
              <w:rPr>
                <w:sz w:val="20"/>
                <w:szCs w:val="20"/>
                <w:color w:val="auto"/>
              </w:rPr>
            </w:pPr>
            <w:r>
              <w:rPr>
                <w:rFonts w:ascii="Arial" w:cs="Arial" w:eastAsia="Arial" w:hAnsi="Arial"/>
                <w:sz w:val="13"/>
                <w:szCs w:val="13"/>
                <w:color w:val="auto"/>
              </w:rPr>
              <w:t>change in control transaction.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Borders>
              <w:right w:val="single" w:sz="8" w:color="auto"/>
            </w:tcBorders>
          </w:tcPr>
          <w:p>
            <w:pPr>
              <w:spacing w:after="0"/>
              <w:rPr>
                <w:sz w:val="12"/>
                <w:szCs w:val="12"/>
                <w:color w:val="auto"/>
              </w:rPr>
            </w:pPr>
          </w:p>
        </w:tc>
        <w:tc>
          <w:tcPr>
            <w:tcW w:w="440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Provide reduced post-employment compensation upon other involuntary</w:t>
            </w: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Borders>
              <w:right w:val="single" w:sz="8" w:color="auto"/>
            </w:tcBorders>
          </w:tcPr>
          <w:p>
            <w:pPr>
              <w:spacing w:after="0"/>
              <w:rPr>
                <w:sz w:val="12"/>
                <w:szCs w:val="12"/>
                <w:color w:val="auto"/>
              </w:rPr>
            </w:pPr>
          </w:p>
        </w:tc>
        <w:tc>
          <w:tcPr>
            <w:tcW w:w="44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3"/>
                <w:szCs w:val="13"/>
                <w:color w:val="auto"/>
              </w:rPr>
              <w:t>terminations.</w:t>
            </w:r>
          </w:p>
        </w:tc>
        <w:tc>
          <w:tcPr>
            <w:tcW w:w="4180" w:type="dxa"/>
            <w:vAlign w:val="bottom"/>
          </w:tcPr>
          <w:p>
            <w:pPr>
              <w:ind w:left="120"/>
              <w:spacing w:after="0" w:line="146" w:lineRule="exact"/>
              <w:rPr>
                <w:sz w:val="20"/>
                <w:szCs w:val="20"/>
                <w:color w:val="auto"/>
              </w:rPr>
            </w:pPr>
            <w:r>
              <w:rPr>
                <w:rFonts w:ascii="Arial" w:cs="Arial" w:eastAsia="Arial" w:hAnsi="Arial"/>
                <w:sz w:val="13"/>
                <w:szCs w:val="13"/>
                <w:color w:val="auto"/>
                <w:w w:val="97"/>
              </w:rPr>
              <w:t>Provide market-competitive post-employment compensation recognizing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tcBorders>
              <w:bottom w:val="single" w:sz="8" w:color="479EFF"/>
              <w:right w:val="single" w:sz="8" w:color="auto"/>
            </w:tcBorders>
          </w:tcPr>
          <w:p>
            <w:pPr>
              <w:spacing w:after="0"/>
              <w:rPr>
                <w:sz w:val="13"/>
                <w:szCs w:val="13"/>
                <w:color w:val="auto"/>
              </w:rPr>
            </w:pPr>
          </w:p>
        </w:tc>
        <w:tc>
          <w:tcPr>
            <w:tcW w:w="4400" w:type="dxa"/>
            <w:vAlign w:val="bottom"/>
            <w:tcBorders>
              <w:bottom w:val="single" w:sz="8" w:color="479EFF"/>
              <w:right w:val="single" w:sz="8" w:color="auto"/>
            </w:tcBorders>
          </w:tcPr>
          <w:p>
            <w:pPr>
              <w:spacing w:after="0"/>
              <w:rPr>
                <w:sz w:val="13"/>
                <w:szCs w:val="13"/>
                <w:color w:val="auto"/>
              </w:rPr>
            </w:pPr>
          </w:p>
        </w:tc>
        <w:tc>
          <w:tcPr>
            <w:tcW w:w="4180" w:type="dxa"/>
            <w:vAlign w:val="bottom"/>
            <w:tcBorders>
              <w:bottom w:val="single" w:sz="8" w:color="479EFF"/>
            </w:tcBorders>
          </w:tcPr>
          <w:p>
            <w:pPr>
              <w:ind w:left="120"/>
              <w:spacing w:after="0" w:line="144" w:lineRule="exact"/>
              <w:rPr>
                <w:sz w:val="20"/>
                <w:szCs w:val="20"/>
                <w:color w:val="auto"/>
              </w:rPr>
            </w:pPr>
            <w:r>
              <w:rPr>
                <w:rFonts w:ascii="Arial" w:cs="Arial" w:eastAsia="Arial" w:hAnsi="Arial"/>
                <w:sz w:val="13"/>
                <w:szCs w:val="13"/>
                <w:color w:val="auto"/>
              </w:rPr>
              <w:t>executives likely require more time to find subsequent employment.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1408430" cy="3333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3" w:name="page74"/>
    <w:bookmarkEnd w:id="7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Detailed Review of Compensation Components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Base Salary</w:t>
      </w:r>
    </w:p>
    <w:p>
      <w:pPr>
        <w:spacing w:after="0" w:line="168" w:lineRule="exact"/>
        <w:rPr>
          <w:sz w:val="20"/>
          <w:szCs w:val="20"/>
          <w:color w:val="auto"/>
        </w:rPr>
      </w:pPr>
    </w:p>
    <w:p>
      <w:pPr>
        <w:ind w:right="320"/>
        <w:spacing w:after="0" w:line="278" w:lineRule="auto"/>
        <w:rPr>
          <w:sz w:val="20"/>
          <w:szCs w:val="20"/>
          <w:color w:val="auto"/>
        </w:rPr>
      </w:pPr>
      <w:r>
        <w:rPr>
          <w:rFonts w:ascii="Arial" w:cs="Arial" w:eastAsia="Arial" w:hAnsi="Arial"/>
          <w:sz w:val="12"/>
          <w:szCs w:val="12"/>
          <w:color w:val="auto"/>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2020, our Compensation Committee considered: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Borders>
              <w:top w:val="single" w:sz="8" w:color="479EFF"/>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Individual Performance</w:t>
            </w:r>
          </w:p>
        </w:tc>
        <w:tc>
          <w:tcPr>
            <w:tcW w:w="9300" w:type="dxa"/>
            <w:vAlign w:val="bottom"/>
            <w:tcBorders>
              <w:top w:val="single" w:sz="8" w:color="479EFF"/>
              <w:bottom w:val="single" w:sz="8" w:color="auto"/>
            </w:tcBorders>
          </w:tcPr>
          <w:p>
            <w:pPr>
              <w:ind w:left="100"/>
              <w:spacing w:after="0"/>
              <w:rPr>
                <w:sz w:val="20"/>
                <w:szCs w:val="20"/>
                <w:color w:val="auto"/>
              </w:rPr>
            </w:pPr>
            <w:r>
              <w:rPr>
                <w:rFonts w:ascii="Arial" w:cs="Arial" w:eastAsia="Arial" w:hAnsi="Arial"/>
                <w:sz w:val="13"/>
                <w:szCs w:val="13"/>
                <w:color w:val="auto"/>
              </w:rPr>
              <w:t>The degree to which the executive met and exceeded expectations.</w:t>
            </w:r>
          </w:p>
        </w:tc>
      </w:tr>
      <w:tr>
        <w:trPr>
          <w:trHeight w:val="136"/>
        </w:trPr>
        <w:tc>
          <w:tcPr>
            <w:tcW w:w="20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Market Data</w:t>
            </w:r>
          </w:p>
        </w:tc>
        <w:tc>
          <w:tcPr>
            <w:tcW w:w="9300" w:type="dxa"/>
            <w:vAlign w:val="bottom"/>
            <w:tcBorders>
              <w:bottom w:val="single" w:sz="8" w:color="auto"/>
            </w:tcBorders>
          </w:tcPr>
          <w:p>
            <w:pPr>
              <w:ind w:left="100"/>
              <w:spacing w:after="0" w:line="136" w:lineRule="exact"/>
              <w:rPr>
                <w:sz w:val="20"/>
                <w:szCs w:val="20"/>
                <w:color w:val="auto"/>
              </w:rPr>
            </w:pPr>
            <w:r>
              <w:rPr>
                <w:rFonts w:ascii="Arial" w:cs="Arial" w:eastAsia="Arial" w:hAnsi="Arial"/>
                <w:sz w:val="13"/>
                <w:szCs w:val="13"/>
                <w:color w:val="auto"/>
              </w:rPr>
              <w:t>Geographical and market data to test reasonableness of compensation.</w:t>
            </w:r>
          </w:p>
        </w:tc>
      </w:tr>
      <w:tr>
        <w:trPr>
          <w:trHeight w:val="145"/>
        </w:trPr>
        <w:tc>
          <w:tcPr>
            <w:tcW w:w="200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Overall Compensation Mix</w:t>
            </w:r>
          </w:p>
        </w:tc>
        <w:tc>
          <w:tcPr>
            <w:tcW w:w="9300" w:type="dxa"/>
            <w:vAlign w:val="bottom"/>
            <w:tcBorders>
              <w:bottom w:val="single" w:sz="8" w:color="479EFF"/>
            </w:tcBorders>
          </w:tcPr>
          <w:p>
            <w:pPr>
              <w:ind w:left="100"/>
              <w:spacing w:after="0" w:line="136" w:lineRule="exact"/>
              <w:rPr>
                <w:sz w:val="20"/>
                <w:szCs w:val="20"/>
                <w:color w:val="auto"/>
              </w:rPr>
            </w:pPr>
            <w:r>
              <w:rPr>
                <w:rFonts w:ascii="Arial" w:cs="Arial" w:eastAsia="Arial" w:hAnsi="Arial"/>
                <w:sz w:val="13"/>
                <w:szCs w:val="13"/>
                <w:color w:val="auto"/>
              </w:rPr>
              <w:t>Senior employees should have a greater portion of their compensation tied to increasing stockholder value.</w:t>
            </w:r>
          </w:p>
        </w:tc>
      </w:tr>
    </w:tbl>
    <w:p>
      <w:pPr>
        <w:spacing w:after="0" w:line="158" w:lineRule="exact"/>
        <w:rPr>
          <w:sz w:val="20"/>
          <w:szCs w:val="20"/>
          <w:color w:val="auto"/>
        </w:rPr>
      </w:pPr>
    </w:p>
    <w:p>
      <w:pPr>
        <w:ind w:right="180"/>
        <w:spacing w:after="0" w:line="236" w:lineRule="auto"/>
        <w:rPr>
          <w:sz w:val="20"/>
          <w:szCs w:val="20"/>
          <w:color w:val="auto"/>
        </w:rPr>
      </w:pPr>
      <w:r>
        <w:rPr>
          <w:rFonts w:ascii="Arial" w:cs="Arial" w:eastAsia="Arial" w:hAnsi="Arial"/>
          <w:sz w:val="13"/>
          <w:szCs w:val="13"/>
          <w:color w:val="auto"/>
        </w:rPr>
        <w:t>Although the Compensation Committee approved modest increases to our named executive officers' base salaries to be effective April 1, 2020, the named executive officers agreed to defer these increases due to the uncertainly caused by the COVID-19 pandemic. The increases, therefore, did not come into effect during the 2020 fiscal year. Further, the fixed compensation amounts for each of Messrs. Bagai and Bhalla cover not only base salary, but also amounts available as a travel allowance, an automobile allowance, a housing allowance, a medical allowance and a cash supplementary allowance, consistent with compensation practices in India.</w:t>
      </w:r>
    </w:p>
    <w:p>
      <w:pPr>
        <w:spacing w:after="0" w:line="151" w:lineRule="exact"/>
        <w:rPr>
          <w:sz w:val="20"/>
          <w:szCs w:val="20"/>
          <w:color w:val="auto"/>
        </w:rPr>
      </w:pPr>
    </w:p>
    <w:p>
      <w:pPr>
        <w:jc w:val="both"/>
        <w:ind w:right="40"/>
        <w:spacing w:after="0" w:line="237" w:lineRule="auto"/>
        <w:rPr>
          <w:sz w:val="20"/>
          <w:szCs w:val="20"/>
          <w:color w:val="auto"/>
        </w:rPr>
      </w:pPr>
      <w:r>
        <w:rPr>
          <w:rFonts w:ascii="Arial" w:cs="Arial" w:eastAsia="Arial" w:hAnsi="Arial"/>
          <w:sz w:val="13"/>
          <w:szCs w:val="13"/>
          <w:color w:val="auto"/>
        </w:rPr>
        <w:t>In May 2020, the Company announced that, due to the uncertainty caused by the COVID-19 pandemic and in order to retain flexibility, the Company's executive management team recommended to the Compensation Committee and the Compensation Committee accepted, salary reductions of 30% or 50% for each of the Company's named executive officers. As a result, the base salary for Mr. Kapoor, was temporarily reduced by 50% and the base salary for the Company's other named executive officers was temporarily reduced by 30% from May 1, 2020 through August 31,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Each named executive officer agreed that their base salary reduction would not constitute a termination for "good reason" within the meaning of such named executive officer's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201295</wp:posOffset>
            </wp:positionV>
            <wp:extent cx="1408430" cy="3333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4" w:name="page75"/>
    <w:bookmarkEnd w:id="74"/>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
        <w:spacing w:after="0"/>
        <w:rPr>
          <w:sz w:val="20"/>
          <w:szCs w:val="20"/>
          <w:color w:val="auto"/>
        </w:rPr>
      </w:pPr>
      <w:r>
        <w:rPr>
          <w:rFonts w:ascii="Arial" w:cs="Arial" w:eastAsia="Arial" w:hAnsi="Arial"/>
          <w:sz w:val="10"/>
          <w:szCs w:val="10"/>
          <w:b w:val="1"/>
          <w:bCs w:val="1"/>
          <w:color w:val="CCD9D9"/>
        </w:rPr>
        <w:t>EXECUTIVE COMPENSATION</w:t>
      </w:r>
    </w:p>
    <w:p>
      <w:pPr>
        <w:spacing w:after="0" w:line="168" w:lineRule="exact"/>
        <w:rPr>
          <w:sz w:val="20"/>
          <w:szCs w:val="20"/>
          <w:color w:val="auto"/>
        </w:rPr>
      </w:pPr>
    </w:p>
    <w:p>
      <w:pPr>
        <w:ind w:left="2"/>
        <w:spacing w:after="0" w:line="266" w:lineRule="auto"/>
        <w:rPr>
          <w:sz w:val="20"/>
          <w:szCs w:val="20"/>
          <w:color w:val="auto"/>
        </w:rPr>
      </w:pPr>
      <w:r>
        <w:rPr>
          <w:rFonts w:ascii="Arial" w:cs="Arial" w:eastAsia="Arial" w:hAnsi="Arial"/>
          <w:sz w:val="12"/>
          <w:szCs w:val="12"/>
          <w:color w:val="auto"/>
        </w:rPr>
        <w:t>The following table shows the 2019 and 2020 fixed compensation, the approved fixed compensation of our named executive officers for 2020, including the increases that would have taken effect on April 1, 2020 and without adjusting for the salary reductions mentioned above, the actual earned fixed compensation of our named executive officers in 2020, and the overall difference between our named executive officers' actual earned fixed compensation and what they would have earned in 2020 but for the base salary increase deferrals and temporary base salary reductions.</w:t>
      </w:r>
    </w:p>
    <w:p>
      <w:pPr>
        <w:spacing w:after="0" w:line="124" w:lineRule="exact"/>
        <w:rPr>
          <w:sz w:val="20"/>
          <w:szCs w:val="20"/>
          <w:color w:val="auto"/>
        </w:rPr>
      </w:pPr>
    </w:p>
    <w:tbl>
      <w:tblPr>
        <w:tblLayout w:type="fixed"/>
        <w:tblInd w:w="1122" w:type="dxa"/>
        <w:tblCellMar>
          <w:top w:w="0" w:type="dxa"/>
          <w:left w:w="0" w:type="dxa"/>
          <w:bottom w:w="0" w:type="dxa"/>
          <w:right w:w="0" w:type="dxa"/>
        </w:tblCellMar>
      </w:tblPr>
      <w:tr>
        <w:trPr>
          <w:trHeight w:val="117"/>
        </w:trPr>
        <w:tc>
          <w:tcPr>
            <w:tcW w:w="2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80" w:type="dxa"/>
            <w:vAlign w:val="bottom"/>
            <w:vMerge w:val="restart"/>
          </w:tcPr>
          <w:p>
            <w:pPr>
              <w:jc w:val="center"/>
              <w:ind w:right="189"/>
              <w:spacing w:after="0"/>
              <w:rPr>
                <w:sz w:val="20"/>
                <w:szCs w:val="20"/>
                <w:color w:val="auto"/>
              </w:rPr>
            </w:pPr>
            <w:r>
              <w:rPr>
                <w:rFonts w:ascii="Arial" w:cs="Arial" w:eastAsia="Arial" w:hAnsi="Arial"/>
                <w:sz w:val="10"/>
                <w:szCs w:val="10"/>
                <w:b w:val="1"/>
                <w:bCs w:val="1"/>
                <w:color w:val="479EFF"/>
              </w:rPr>
              <w:t>2020 Base Salary /</w:t>
            </w:r>
          </w:p>
        </w:tc>
        <w:tc>
          <w:tcPr>
            <w:tcW w:w="1520" w:type="dxa"/>
            <w:vAlign w:val="bottom"/>
            <w:vMerge w:val="restart"/>
          </w:tcPr>
          <w:p>
            <w:pPr>
              <w:jc w:val="center"/>
              <w:ind w:right="289"/>
              <w:spacing w:after="0"/>
              <w:rPr>
                <w:sz w:val="20"/>
                <w:szCs w:val="20"/>
                <w:color w:val="auto"/>
              </w:rPr>
            </w:pPr>
            <w:r>
              <w:rPr>
                <w:rFonts w:ascii="Arial" w:cs="Arial" w:eastAsia="Arial" w:hAnsi="Arial"/>
                <w:sz w:val="10"/>
                <w:szCs w:val="10"/>
                <w:b w:val="1"/>
                <w:bCs w:val="1"/>
                <w:color w:val="479EFF"/>
              </w:rPr>
              <w:t>2020 Approved Base</w:t>
            </w:r>
          </w:p>
        </w:tc>
        <w:tc>
          <w:tcPr>
            <w:tcW w:w="1500" w:type="dxa"/>
            <w:vAlign w:val="bottom"/>
            <w:vMerge w:val="restart"/>
          </w:tcPr>
          <w:p>
            <w:pPr>
              <w:ind w:left="100"/>
              <w:spacing w:after="0"/>
              <w:rPr>
                <w:sz w:val="20"/>
                <w:szCs w:val="20"/>
                <w:color w:val="auto"/>
              </w:rPr>
            </w:pPr>
            <w:r>
              <w:rPr>
                <w:rFonts w:ascii="Arial" w:cs="Arial" w:eastAsia="Arial" w:hAnsi="Arial"/>
                <w:sz w:val="10"/>
                <w:szCs w:val="10"/>
                <w:b w:val="1"/>
                <w:bCs w:val="1"/>
                <w:color w:val="479EFF"/>
              </w:rPr>
              <w:t>2020 Actual Earned</w:t>
            </w:r>
          </w:p>
        </w:tc>
        <w:tc>
          <w:tcPr>
            <w:tcW w:w="1300" w:type="dxa"/>
            <w:vAlign w:val="bottom"/>
          </w:tcPr>
          <w:p>
            <w:pPr>
              <w:jc w:val="center"/>
              <w:ind w:right="209"/>
              <w:spacing w:after="0"/>
              <w:rPr>
                <w:sz w:val="20"/>
                <w:szCs w:val="20"/>
                <w:color w:val="auto"/>
              </w:rPr>
            </w:pPr>
            <w:r>
              <w:rPr>
                <w:rFonts w:ascii="Arial" w:cs="Arial" w:eastAsia="Arial" w:hAnsi="Arial"/>
                <w:sz w:val="10"/>
                <w:szCs w:val="10"/>
                <w:b w:val="1"/>
                <w:bCs w:val="1"/>
                <w:color w:val="479EFF"/>
              </w:rPr>
              <w:t>2020 Overall Base</w:t>
            </w:r>
          </w:p>
        </w:tc>
        <w:tc>
          <w:tcPr>
            <w:tcW w:w="0" w:type="dxa"/>
            <w:vAlign w:val="bottom"/>
          </w:tcPr>
          <w:p>
            <w:pPr>
              <w:spacing w:after="0"/>
              <w:rPr>
                <w:sz w:val="1"/>
                <w:szCs w:val="1"/>
                <w:color w:val="auto"/>
              </w:rPr>
            </w:pPr>
          </w:p>
        </w:tc>
      </w:tr>
      <w:tr>
        <w:trPr>
          <w:trHeight w:val="106"/>
        </w:trPr>
        <w:tc>
          <w:tcPr>
            <w:tcW w:w="2120" w:type="dxa"/>
            <w:vAlign w:val="bottom"/>
          </w:tcPr>
          <w:p>
            <w:pPr>
              <w:spacing w:after="0"/>
              <w:rPr>
                <w:sz w:val="9"/>
                <w:szCs w:val="9"/>
                <w:color w:val="auto"/>
              </w:rPr>
            </w:pPr>
          </w:p>
        </w:tc>
        <w:tc>
          <w:tcPr>
            <w:tcW w:w="1320" w:type="dxa"/>
            <w:vAlign w:val="bottom"/>
          </w:tcPr>
          <w:p>
            <w:pPr>
              <w:jc w:val="center"/>
              <w:ind w:right="209"/>
              <w:spacing w:after="0" w:line="106" w:lineRule="exact"/>
              <w:rPr>
                <w:sz w:val="20"/>
                <w:szCs w:val="20"/>
                <w:color w:val="auto"/>
              </w:rPr>
            </w:pPr>
            <w:r>
              <w:rPr>
                <w:rFonts w:ascii="Arial" w:cs="Arial" w:eastAsia="Arial" w:hAnsi="Arial"/>
                <w:sz w:val="10"/>
                <w:szCs w:val="10"/>
                <w:b w:val="1"/>
                <w:bCs w:val="1"/>
                <w:color w:val="479EFF"/>
              </w:rPr>
              <w:t>2019 Base Salary /</w:t>
            </w:r>
          </w:p>
        </w:tc>
        <w:tc>
          <w:tcPr>
            <w:tcW w:w="13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00" w:type="dxa"/>
            <w:vAlign w:val="bottom"/>
          </w:tcPr>
          <w:p>
            <w:pPr>
              <w:jc w:val="center"/>
              <w:ind w:right="209"/>
              <w:spacing w:after="0" w:line="106" w:lineRule="exact"/>
              <w:rPr>
                <w:sz w:val="20"/>
                <w:szCs w:val="20"/>
                <w:color w:val="auto"/>
              </w:rPr>
            </w:pPr>
            <w:r>
              <w:rPr>
                <w:rFonts w:ascii="Arial" w:cs="Arial" w:eastAsia="Arial" w:hAnsi="Arial"/>
                <w:sz w:val="10"/>
                <w:szCs w:val="10"/>
                <w:b w:val="1"/>
                <w:bCs w:val="1"/>
                <w:color w:val="479EFF"/>
              </w:rPr>
              <w:t>Salary / Fixed</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1320" w:type="dxa"/>
            <w:vAlign w:val="bottom"/>
          </w:tcPr>
          <w:p>
            <w:pPr>
              <w:jc w:val="center"/>
              <w:ind w:right="209"/>
              <w:spacing w:after="0"/>
              <w:rPr>
                <w:sz w:val="20"/>
                <w:szCs w:val="20"/>
                <w:color w:val="auto"/>
              </w:rPr>
            </w:pPr>
            <w:r>
              <w:rPr>
                <w:rFonts w:ascii="Arial" w:cs="Arial" w:eastAsia="Arial" w:hAnsi="Arial"/>
                <w:sz w:val="10"/>
                <w:szCs w:val="10"/>
                <w:b w:val="1"/>
                <w:bCs w:val="1"/>
                <w:color w:val="479EFF"/>
              </w:rPr>
              <w:t>Annual Fixed</w:t>
            </w:r>
          </w:p>
        </w:tc>
        <w:tc>
          <w:tcPr>
            <w:tcW w:w="1380" w:type="dxa"/>
            <w:vAlign w:val="bottom"/>
          </w:tcPr>
          <w:p>
            <w:pPr>
              <w:jc w:val="center"/>
              <w:ind w:right="189"/>
              <w:spacing w:after="0"/>
              <w:rPr>
                <w:sz w:val="20"/>
                <w:szCs w:val="20"/>
                <w:color w:val="auto"/>
              </w:rPr>
            </w:pPr>
            <w:r>
              <w:rPr>
                <w:rFonts w:ascii="Arial" w:cs="Arial" w:eastAsia="Arial" w:hAnsi="Arial"/>
                <w:sz w:val="10"/>
                <w:szCs w:val="10"/>
                <w:b w:val="1"/>
                <w:bCs w:val="1"/>
                <w:color w:val="479EFF"/>
              </w:rPr>
              <w:t>Annual Fixed</w:t>
            </w:r>
          </w:p>
        </w:tc>
        <w:tc>
          <w:tcPr>
            <w:tcW w:w="1520" w:type="dxa"/>
            <w:vAlign w:val="bottom"/>
          </w:tcPr>
          <w:p>
            <w:pPr>
              <w:jc w:val="center"/>
              <w:ind w:right="289"/>
              <w:spacing w:after="0"/>
              <w:rPr>
                <w:sz w:val="20"/>
                <w:szCs w:val="20"/>
                <w:color w:val="auto"/>
              </w:rPr>
            </w:pPr>
            <w:r>
              <w:rPr>
                <w:rFonts w:ascii="Arial" w:cs="Arial" w:eastAsia="Arial" w:hAnsi="Arial"/>
                <w:sz w:val="10"/>
                <w:szCs w:val="10"/>
                <w:b w:val="1"/>
                <w:bCs w:val="1"/>
                <w:color w:val="479EFF"/>
              </w:rPr>
              <w:t>Salary / Fixed</w:t>
            </w:r>
          </w:p>
        </w:tc>
        <w:tc>
          <w:tcPr>
            <w:tcW w:w="1500" w:type="dxa"/>
            <w:vAlign w:val="bottom"/>
          </w:tcPr>
          <w:p>
            <w:pPr>
              <w:ind w:left="100"/>
              <w:spacing w:after="0"/>
              <w:rPr>
                <w:sz w:val="20"/>
                <w:szCs w:val="20"/>
                <w:color w:val="auto"/>
              </w:rPr>
            </w:pPr>
            <w:r>
              <w:rPr>
                <w:rFonts w:ascii="Arial" w:cs="Arial" w:eastAsia="Arial" w:hAnsi="Arial"/>
                <w:sz w:val="10"/>
                <w:szCs w:val="10"/>
                <w:b w:val="1"/>
                <w:bCs w:val="1"/>
                <w:color w:val="479EFF"/>
              </w:rPr>
              <w:t>Base Salary / Fixed</w:t>
            </w:r>
          </w:p>
        </w:tc>
        <w:tc>
          <w:tcPr>
            <w:tcW w:w="1300" w:type="dxa"/>
            <w:vAlign w:val="bottom"/>
          </w:tcPr>
          <w:p>
            <w:pPr>
              <w:jc w:val="center"/>
              <w:ind w:right="209"/>
              <w:spacing w:after="0"/>
              <w:rPr>
                <w:sz w:val="20"/>
                <w:szCs w:val="20"/>
                <w:color w:val="auto"/>
              </w:rPr>
            </w:pPr>
            <w:r>
              <w:rPr>
                <w:rFonts w:ascii="Arial" w:cs="Arial" w:eastAsia="Arial" w:hAnsi="Arial"/>
                <w:sz w:val="10"/>
                <w:szCs w:val="10"/>
                <w:b w:val="1"/>
                <w:bCs w:val="1"/>
                <w:color w:val="479EFF"/>
              </w:rPr>
              <w:t>Compensation</w:t>
            </w:r>
          </w:p>
        </w:tc>
        <w:tc>
          <w:tcPr>
            <w:tcW w:w="0" w:type="dxa"/>
            <w:vAlign w:val="bottom"/>
          </w:tcPr>
          <w:p>
            <w:pPr>
              <w:spacing w:after="0"/>
              <w:rPr>
                <w:sz w:val="1"/>
                <w:szCs w:val="1"/>
                <w:color w:val="auto"/>
              </w:rPr>
            </w:pPr>
          </w:p>
        </w:tc>
      </w:tr>
      <w:tr>
        <w:trPr>
          <w:trHeight w:val="145"/>
        </w:trPr>
        <w:tc>
          <w:tcPr>
            <w:tcW w:w="2120" w:type="dxa"/>
            <w:vAlign w:val="bottom"/>
            <w:tcBorders>
              <w:bottom w:val="single" w:sz="8" w:color="479EFF"/>
            </w:tcBorders>
          </w:tcPr>
          <w:p>
            <w:pPr>
              <w:spacing w:after="0"/>
              <w:rPr>
                <w:sz w:val="20"/>
                <w:szCs w:val="20"/>
                <w:color w:val="auto"/>
              </w:rPr>
            </w:pPr>
            <w:r>
              <w:rPr>
                <w:rFonts w:ascii="Arial" w:cs="Arial" w:eastAsia="Arial" w:hAnsi="Arial"/>
                <w:sz w:val="10"/>
                <w:szCs w:val="10"/>
                <w:b w:val="1"/>
                <w:bCs w:val="1"/>
                <w:color w:val="479EFF"/>
              </w:rPr>
              <w:t>Name</w:t>
            </w:r>
          </w:p>
        </w:tc>
        <w:tc>
          <w:tcPr>
            <w:tcW w:w="1320" w:type="dxa"/>
            <w:vAlign w:val="bottom"/>
            <w:tcBorders>
              <w:bottom w:val="single" w:sz="8" w:color="479EFF"/>
            </w:tcBorders>
          </w:tcPr>
          <w:p>
            <w:pPr>
              <w:jc w:val="center"/>
              <w:ind w:right="189"/>
              <w:spacing w:after="0"/>
              <w:rPr>
                <w:sz w:val="20"/>
                <w:szCs w:val="20"/>
                <w:color w:val="auto"/>
              </w:rPr>
            </w:pPr>
            <w:r>
              <w:rPr>
                <w:rFonts w:ascii="Arial" w:cs="Arial" w:eastAsia="Arial" w:hAnsi="Arial"/>
                <w:sz w:val="10"/>
                <w:szCs w:val="10"/>
                <w:b w:val="1"/>
                <w:bCs w:val="1"/>
                <w:color w:val="479EFF"/>
              </w:rPr>
              <w:t>Compensation ($)</w:t>
            </w:r>
          </w:p>
        </w:tc>
        <w:tc>
          <w:tcPr>
            <w:tcW w:w="1380" w:type="dxa"/>
            <w:vAlign w:val="bottom"/>
            <w:tcBorders>
              <w:bottom w:val="single" w:sz="8" w:color="479EFF"/>
            </w:tcBorders>
          </w:tcPr>
          <w:p>
            <w:pPr>
              <w:jc w:val="center"/>
              <w:ind w:right="209"/>
              <w:spacing w:after="0" w:line="136" w:lineRule="exact"/>
              <w:rPr>
                <w:sz w:val="20"/>
                <w:szCs w:val="20"/>
                <w:color w:val="auto"/>
              </w:rPr>
            </w:pPr>
            <w:r>
              <w:rPr>
                <w:rFonts w:ascii="Arial" w:cs="Arial" w:eastAsia="Arial" w:hAnsi="Arial"/>
                <w:sz w:val="10"/>
                <w:szCs w:val="10"/>
                <w:b w:val="1"/>
                <w:bCs w:val="1"/>
                <w:color w:val="479EFF"/>
                <w:w w:val="99"/>
              </w:rPr>
              <w:t>Compensation ($)</w:t>
            </w:r>
            <w:r>
              <w:rPr>
                <w:rFonts w:ascii="Arial" w:cs="Arial" w:eastAsia="Arial" w:hAnsi="Arial"/>
                <w:sz w:val="15"/>
                <w:szCs w:val="15"/>
                <w:b w:val="1"/>
                <w:bCs w:val="1"/>
                <w:color w:val="479EFF"/>
                <w:w w:val="99"/>
                <w:vertAlign w:val="superscript"/>
              </w:rPr>
              <w:t>(7)</w:t>
            </w:r>
          </w:p>
        </w:tc>
        <w:tc>
          <w:tcPr>
            <w:tcW w:w="1520" w:type="dxa"/>
            <w:vAlign w:val="bottom"/>
            <w:tcBorders>
              <w:bottom w:val="single" w:sz="8" w:color="479EFF"/>
            </w:tcBorders>
          </w:tcPr>
          <w:p>
            <w:pPr>
              <w:jc w:val="center"/>
              <w:ind w:right="289"/>
              <w:spacing w:after="0" w:line="136" w:lineRule="exact"/>
              <w:rPr>
                <w:sz w:val="20"/>
                <w:szCs w:val="20"/>
                <w:color w:val="auto"/>
              </w:rPr>
            </w:pPr>
            <w:r>
              <w:rPr>
                <w:rFonts w:ascii="Arial" w:cs="Arial" w:eastAsia="Arial" w:hAnsi="Arial"/>
                <w:sz w:val="10"/>
                <w:szCs w:val="10"/>
                <w:b w:val="1"/>
                <w:bCs w:val="1"/>
                <w:color w:val="479EFF"/>
              </w:rPr>
              <w:t>Compensation ($)</w:t>
            </w:r>
            <w:r>
              <w:rPr>
                <w:rFonts w:ascii="Arial" w:cs="Arial" w:eastAsia="Arial" w:hAnsi="Arial"/>
                <w:sz w:val="15"/>
                <w:szCs w:val="15"/>
                <w:b w:val="1"/>
                <w:bCs w:val="1"/>
                <w:color w:val="479EFF"/>
                <w:vertAlign w:val="superscript"/>
              </w:rPr>
              <w:t>(8)</w:t>
            </w:r>
          </w:p>
        </w:tc>
        <w:tc>
          <w:tcPr>
            <w:tcW w:w="1500" w:type="dxa"/>
            <w:vAlign w:val="bottom"/>
            <w:tcBorders>
              <w:bottom w:val="single" w:sz="8" w:color="479EFF"/>
            </w:tcBorders>
          </w:tcPr>
          <w:p>
            <w:pPr>
              <w:ind w:left="80"/>
              <w:spacing w:after="0" w:line="136" w:lineRule="exact"/>
              <w:rPr>
                <w:sz w:val="20"/>
                <w:szCs w:val="20"/>
                <w:color w:val="auto"/>
              </w:rPr>
            </w:pPr>
            <w:r>
              <w:rPr>
                <w:rFonts w:ascii="Arial" w:cs="Arial" w:eastAsia="Arial" w:hAnsi="Arial"/>
                <w:sz w:val="10"/>
                <w:szCs w:val="10"/>
                <w:b w:val="1"/>
                <w:bCs w:val="1"/>
                <w:color w:val="479EFF"/>
              </w:rPr>
              <w:t>Compensation ($)</w:t>
            </w:r>
            <w:r>
              <w:rPr>
                <w:rFonts w:ascii="Arial" w:cs="Arial" w:eastAsia="Arial" w:hAnsi="Arial"/>
                <w:sz w:val="15"/>
                <w:szCs w:val="15"/>
                <w:b w:val="1"/>
                <w:bCs w:val="1"/>
                <w:color w:val="479EFF"/>
                <w:vertAlign w:val="superscript"/>
              </w:rPr>
              <w:t>(9)</w:t>
            </w:r>
          </w:p>
        </w:tc>
        <w:tc>
          <w:tcPr>
            <w:tcW w:w="1300" w:type="dxa"/>
            <w:vAlign w:val="bottom"/>
            <w:tcBorders>
              <w:bottom w:val="single" w:sz="8" w:color="479EFF"/>
            </w:tcBorders>
          </w:tcPr>
          <w:p>
            <w:pPr>
              <w:jc w:val="center"/>
              <w:ind w:right="189"/>
              <w:spacing w:after="0"/>
              <w:rPr>
                <w:sz w:val="20"/>
                <w:szCs w:val="20"/>
                <w:color w:val="auto"/>
              </w:rPr>
            </w:pPr>
            <w:r>
              <w:rPr>
                <w:rFonts w:ascii="Arial" w:cs="Arial" w:eastAsia="Arial" w:hAnsi="Arial"/>
                <w:sz w:val="10"/>
                <w:szCs w:val="10"/>
                <w:b w:val="1"/>
                <w:bCs w:val="1"/>
                <w:color w:val="479EFF"/>
              </w:rPr>
              <w:t>Reduction ($)</w:t>
            </w:r>
          </w:p>
        </w:tc>
        <w:tc>
          <w:tcPr>
            <w:tcW w:w="0" w:type="dxa"/>
            <w:vAlign w:val="bottom"/>
          </w:tcPr>
          <w:p>
            <w:pPr>
              <w:spacing w:after="0"/>
              <w:rPr>
                <w:sz w:val="1"/>
                <w:szCs w:val="1"/>
                <w:color w:val="auto"/>
              </w:rPr>
            </w:pPr>
          </w:p>
        </w:tc>
      </w:tr>
      <w:tr>
        <w:trPr>
          <w:trHeight w:val="117"/>
        </w:trPr>
        <w:tc>
          <w:tcPr>
            <w:tcW w:w="2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Rohit Kapoor</w:t>
            </w:r>
          </w:p>
        </w:tc>
        <w:tc>
          <w:tcPr>
            <w:tcW w:w="1320" w:type="dxa"/>
            <w:vAlign w:val="bottom"/>
            <w:tcBorders>
              <w:bottom w:val="single" w:sz="8" w:color="auto"/>
              <w:right w:val="single" w:sz="8" w:color="auto"/>
            </w:tcBorders>
          </w:tcPr>
          <w:p>
            <w:pPr>
              <w:jc w:val="right"/>
              <w:ind w:right="249"/>
              <w:spacing w:after="0"/>
              <w:rPr>
                <w:sz w:val="20"/>
                <w:szCs w:val="20"/>
                <w:color w:val="auto"/>
              </w:rPr>
            </w:pPr>
            <w:r>
              <w:rPr>
                <w:rFonts w:ascii="Arial" w:cs="Arial" w:eastAsia="Arial" w:hAnsi="Arial"/>
                <w:sz w:val="10"/>
                <w:szCs w:val="10"/>
                <w:color w:val="auto"/>
              </w:rPr>
              <w:t>720,000</w:t>
            </w:r>
          </w:p>
        </w:tc>
        <w:tc>
          <w:tcPr>
            <w:tcW w:w="1380" w:type="dxa"/>
            <w:vAlign w:val="bottom"/>
            <w:tcBorders>
              <w:bottom w:val="single" w:sz="8" w:color="auto"/>
              <w:right w:val="single" w:sz="8" w:color="auto"/>
            </w:tcBorders>
          </w:tcPr>
          <w:p>
            <w:pPr>
              <w:jc w:val="right"/>
              <w:ind w:right="249"/>
              <w:spacing w:after="0"/>
              <w:rPr>
                <w:sz w:val="20"/>
                <w:szCs w:val="20"/>
                <w:color w:val="auto"/>
              </w:rPr>
            </w:pPr>
            <w:r>
              <w:rPr>
                <w:rFonts w:ascii="Arial" w:cs="Arial" w:eastAsia="Arial" w:hAnsi="Arial"/>
                <w:sz w:val="10"/>
                <w:szCs w:val="10"/>
                <w:color w:val="auto"/>
              </w:rPr>
              <w:t>720,000</w:t>
            </w:r>
          </w:p>
        </w:tc>
        <w:tc>
          <w:tcPr>
            <w:tcW w:w="152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0"/>
                <w:szCs w:val="10"/>
                <w:color w:val="auto"/>
              </w:rPr>
              <w:t>742,541</w:t>
            </w:r>
          </w:p>
        </w:tc>
        <w:tc>
          <w:tcPr>
            <w:tcW w:w="150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0"/>
                <w:szCs w:val="10"/>
                <w:color w:val="auto"/>
              </w:rPr>
              <w:t>599,016</w:t>
            </w:r>
          </w:p>
        </w:tc>
        <w:tc>
          <w:tcPr>
            <w:tcW w:w="130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rPr>
              <w:t>143,525</w:t>
            </w:r>
          </w:p>
        </w:tc>
        <w:tc>
          <w:tcPr>
            <w:tcW w:w="0" w:type="dxa"/>
            <w:vAlign w:val="bottom"/>
          </w:tcPr>
          <w:p>
            <w:pPr>
              <w:spacing w:after="0"/>
              <w:rPr>
                <w:sz w:val="1"/>
                <w:szCs w:val="1"/>
                <w:color w:val="auto"/>
              </w:rPr>
            </w:pPr>
          </w:p>
        </w:tc>
      </w:tr>
      <w:tr>
        <w:trPr>
          <w:trHeight w:val="126"/>
        </w:trPr>
        <w:tc>
          <w:tcPr>
            <w:tcW w:w="2120" w:type="dxa"/>
            <w:vAlign w:val="bottom"/>
            <w:tcBorders>
              <w:bottom w:val="single" w:sz="8" w:color="auto"/>
              <w:right w:val="single" w:sz="8" w:color="auto"/>
            </w:tcBorders>
          </w:tcPr>
          <w:p>
            <w:pPr>
              <w:spacing w:after="0" w:line="126" w:lineRule="exact"/>
              <w:rPr>
                <w:sz w:val="20"/>
                <w:szCs w:val="20"/>
                <w:color w:val="auto"/>
              </w:rPr>
            </w:pPr>
            <w:r>
              <w:rPr>
                <w:rFonts w:ascii="Arial" w:cs="Arial" w:eastAsia="Arial" w:hAnsi="Arial"/>
                <w:sz w:val="10"/>
                <w:szCs w:val="10"/>
                <w:b w:val="1"/>
                <w:bCs w:val="1"/>
                <w:color w:val="auto"/>
              </w:rPr>
              <w:t>Maurizio Nicolelli</w:t>
            </w:r>
            <w:r>
              <w:rPr>
                <w:rFonts w:ascii="Arial" w:cs="Arial" w:eastAsia="Arial" w:hAnsi="Arial"/>
                <w:sz w:val="14"/>
                <w:szCs w:val="14"/>
                <w:b w:val="1"/>
                <w:bCs w:val="1"/>
                <w:color w:val="auto"/>
                <w:vertAlign w:val="superscript"/>
              </w:rPr>
              <w:t>(1)</w:t>
            </w:r>
          </w:p>
        </w:tc>
        <w:tc>
          <w:tcPr>
            <w:tcW w:w="1320" w:type="dxa"/>
            <w:vAlign w:val="bottom"/>
            <w:tcBorders>
              <w:bottom w:val="single" w:sz="8" w:color="auto"/>
              <w:right w:val="single" w:sz="8" w:color="auto"/>
            </w:tcBorders>
          </w:tcPr>
          <w:p>
            <w:pPr>
              <w:jc w:val="right"/>
              <w:ind w:right="249"/>
              <w:spacing w:after="0"/>
              <w:rPr>
                <w:sz w:val="20"/>
                <w:szCs w:val="20"/>
                <w:color w:val="auto"/>
              </w:rPr>
            </w:pPr>
            <w:r>
              <w:rPr>
                <w:rFonts w:ascii="Arial" w:cs="Arial" w:eastAsia="Arial" w:hAnsi="Arial"/>
                <w:sz w:val="10"/>
                <w:szCs w:val="10"/>
                <w:color w:val="auto"/>
              </w:rPr>
              <w:t>—</w:t>
            </w:r>
          </w:p>
        </w:tc>
        <w:tc>
          <w:tcPr>
            <w:tcW w:w="1380" w:type="dxa"/>
            <w:vAlign w:val="bottom"/>
            <w:tcBorders>
              <w:bottom w:val="single" w:sz="8" w:color="auto"/>
              <w:right w:val="single" w:sz="8" w:color="auto"/>
            </w:tcBorders>
          </w:tcPr>
          <w:p>
            <w:pPr>
              <w:jc w:val="right"/>
              <w:ind w:right="249"/>
              <w:spacing w:after="0"/>
              <w:rPr>
                <w:sz w:val="20"/>
                <w:szCs w:val="20"/>
                <w:color w:val="auto"/>
              </w:rPr>
            </w:pPr>
            <w:r>
              <w:rPr>
                <w:rFonts w:ascii="Arial" w:cs="Arial" w:eastAsia="Arial" w:hAnsi="Arial"/>
                <w:sz w:val="10"/>
                <w:szCs w:val="10"/>
                <w:color w:val="auto"/>
              </w:rPr>
              <w:t>450,000</w:t>
            </w:r>
          </w:p>
        </w:tc>
        <w:tc>
          <w:tcPr>
            <w:tcW w:w="152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0"/>
                <w:szCs w:val="10"/>
                <w:color w:val="auto"/>
              </w:rPr>
              <w:t>432,172</w:t>
            </w:r>
          </w:p>
        </w:tc>
        <w:tc>
          <w:tcPr>
            <w:tcW w:w="150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0"/>
                <w:szCs w:val="10"/>
                <w:color w:val="auto"/>
              </w:rPr>
              <w:t>384,283</w:t>
            </w:r>
          </w:p>
        </w:tc>
        <w:tc>
          <w:tcPr>
            <w:tcW w:w="130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rPr>
              <w:t>47,889</w:t>
            </w:r>
          </w:p>
        </w:tc>
        <w:tc>
          <w:tcPr>
            <w:tcW w:w="0" w:type="dxa"/>
            <w:vAlign w:val="bottom"/>
          </w:tcPr>
          <w:p>
            <w:pPr>
              <w:spacing w:after="0"/>
              <w:rPr>
                <w:sz w:val="1"/>
                <w:szCs w:val="1"/>
                <w:color w:val="auto"/>
              </w:rPr>
            </w:pPr>
          </w:p>
        </w:tc>
      </w:tr>
      <w:tr>
        <w:trPr>
          <w:trHeight w:val="126"/>
        </w:trPr>
        <w:tc>
          <w:tcPr>
            <w:tcW w:w="2120" w:type="dxa"/>
            <w:vAlign w:val="bottom"/>
            <w:tcBorders>
              <w:bottom w:val="single" w:sz="8" w:color="auto"/>
              <w:right w:val="single" w:sz="8" w:color="auto"/>
            </w:tcBorders>
          </w:tcPr>
          <w:p>
            <w:pPr>
              <w:spacing w:after="0" w:line="126" w:lineRule="exact"/>
              <w:rPr>
                <w:sz w:val="20"/>
                <w:szCs w:val="20"/>
                <w:color w:val="auto"/>
              </w:rPr>
            </w:pPr>
            <w:r>
              <w:rPr>
                <w:rFonts w:ascii="Arial" w:cs="Arial" w:eastAsia="Arial" w:hAnsi="Arial"/>
                <w:sz w:val="10"/>
                <w:szCs w:val="10"/>
                <w:b w:val="1"/>
                <w:bCs w:val="1"/>
                <w:color w:val="auto"/>
              </w:rPr>
              <w:t>Pavan Bagai</w:t>
            </w:r>
            <w:r>
              <w:rPr>
                <w:rFonts w:ascii="Arial" w:cs="Arial" w:eastAsia="Arial" w:hAnsi="Arial"/>
                <w:sz w:val="14"/>
                <w:szCs w:val="14"/>
                <w:b w:val="1"/>
                <w:bCs w:val="1"/>
                <w:color w:val="auto"/>
                <w:vertAlign w:val="superscript"/>
              </w:rPr>
              <w:t>(6)</w:t>
            </w:r>
          </w:p>
        </w:tc>
        <w:tc>
          <w:tcPr>
            <w:tcW w:w="1320" w:type="dxa"/>
            <w:vAlign w:val="bottom"/>
            <w:tcBorders>
              <w:bottom w:val="single" w:sz="8" w:color="auto"/>
              <w:right w:val="single" w:sz="8" w:color="auto"/>
            </w:tcBorders>
          </w:tcPr>
          <w:p>
            <w:pPr>
              <w:jc w:val="right"/>
              <w:ind w:right="149"/>
              <w:spacing w:after="0" w:line="126" w:lineRule="exact"/>
              <w:rPr>
                <w:sz w:val="20"/>
                <w:szCs w:val="20"/>
                <w:color w:val="auto"/>
              </w:rPr>
            </w:pPr>
            <w:r>
              <w:rPr>
                <w:rFonts w:ascii="Arial" w:cs="Arial" w:eastAsia="Arial" w:hAnsi="Arial"/>
                <w:sz w:val="10"/>
                <w:szCs w:val="10"/>
                <w:color w:val="auto"/>
              </w:rPr>
              <w:t>INR26,000,000</w:t>
            </w:r>
            <w:r>
              <w:rPr>
                <w:rFonts w:ascii="Arial" w:cs="Arial" w:eastAsia="Arial" w:hAnsi="Arial"/>
                <w:sz w:val="14"/>
                <w:szCs w:val="14"/>
                <w:color w:val="auto"/>
                <w:vertAlign w:val="superscript"/>
              </w:rPr>
              <w:t>(2)</w:t>
            </w:r>
          </w:p>
        </w:tc>
        <w:tc>
          <w:tcPr>
            <w:tcW w:w="1380" w:type="dxa"/>
            <w:vAlign w:val="bottom"/>
            <w:tcBorders>
              <w:bottom w:val="single" w:sz="8" w:color="auto"/>
              <w:right w:val="single" w:sz="8" w:color="auto"/>
            </w:tcBorders>
          </w:tcPr>
          <w:p>
            <w:pPr>
              <w:jc w:val="right"/>
              <w:ind w:right="149"/>
              <w:spacing w:after="0" w:line="126" w:lineRule="exact"/>
              <w:rPr>
                <w:sz w:val="20"/>
                <w:szCs w:val="20"/>
                <w:color w:val="auto"/>
              </w:rPr>
            </w:pPr>
            <w:r>
              <w:rPr>
                <w:rFonts w:ascii="Arial" w:cs="Arial" w:eastAsia="Arial" w:hAnsi="Arial"/>
                <w:sz w:val="10"/>
                <w:szCs w:val="10"/>
                <w:color w:val="auto"/>
              </w:rPr>
              <w:t>INR26,000,000</w:t>
            </w:r>
            <w:r>
              <w:rPr>
                <w:rFonts w:ascii="Arial" w:cs="Arial" w:eastAsia="Arial" w:hAnsi="Arial"/>
                <w:sz w:val="14"/>
                <w:szCs w:val="14"/>
                <w:color w:val="auto"/>
                <w:vertAlign w:val="superscript"/>
              </w:rPr>
              <w:t>(3)</w:t>
            </w:r>
          </w:p>
        </w:tc>
        <w:tc>
          <w:tcPr>
            <w:tcW w:w="1520" w:type="dxa"/>
            <w:vAlign w:val="bottom"/>
            <w:tcBorders>
              <w:bottom w:val="single" w:sz="8" w:color="auto"/>
              <w:right w:val="single" w:sz="8" w:color="auto"/>
            </w:tcBorders>
          </w:tcPr>
          <w:p>
            <w:pPr>
              <w:jc w:val="right"/>
              <w:ind w:right="209"/>
              <w:spacing w:after="0" w:line="126" w:lineRule="exact"/>
              <w:rPr>
                <w:sz w:val="20"/>
                <w:szCs w:val="20"/>
                <w:color w:val="auto"/>
              </w:rPr>
            </w:pPr>
            <w:r>
              <w:rPr>
                <w:rFonts w:ascii="Arial" w:cs="Arial" w:eastAsia="Arial" w:hAnsi="Arial"/>
                <w:sz w:val="10"/>
                <w:szCs w:val="10"/>
                <w:color w:val="auto"/>
              </w:rPr>
              <w:t>INR27,502,732</w:t>
            </w:r>
            <w:r>
              <w:rPr>
                <w:rFonts w:ascii="Arial" w:cs="Arial" w:eastAsia="Arial" w:hAnsi="Arial"/>
                <w:sz w:val="14"/>
                <w:szCs w:val="14"/>
                <w:color w:val="auto"/>
                <w:vertAlign w:val="superscript"/>
              </w:rPr>
              <w:t>(10)</w:t>
            </w:r>
          </w:p>
        </w:tc>
        <w:tc>
          <w:tcPr>
            <w:tcW w:w="1500" w:type="dxa"/>
            <w:vAlign w:val="bottom"/>
            <w:tcBorders>
              <w:bottom w:val="single" w:sz="8" w:color="auto"/>
              <w:right w:val="single" w:sz="8" w:color="auto"/>
            </w:tcBorders>
          </w:tcPr>
          <w:p>
            <w:pPr>
              <w:jc w:val="right"/>
              <w:ind w:right="209"/>
              <w:spacing w:after="0" w:line="126" w:lineRule="exact"/>
              <w:rPr>
                <w:sz w:val="20"/>
                <w:szCs w:val="20"/>
                <w:color w:val="auto"/>
              </w:rPr>
            </w:pPr>
            <w:r>
              <w:rPr>
                <w:rFonts w:ascii="Arial" w:cs="Arial" w:eastAsia="Arial" w:hAnsi="Arial"/>
                <w:sz w:val="10"/>
                <w:szCs w:val="10"/>
                <w:color w:val="auto"/>
              </w:rPr>
              <w:t>INR23,400,000</w:t>
            </w:r>
            <w:r>
              <w:rPr>
                <w:rFonts w:ascii="Arial" w:cs="Arial" w:eastAsia="Arial" w:hAnsi="Arial"/>
                <w:sz w:val="14"/>
                <w:szCs w:val="14"/>
                <w:color w:val="auto"/>
                <w:vertAlign w:val="superscript"/>
              </w:rPr>
              <w:t>(11)</w:t>
            </w:r>
          </w:p>
        </w:tc>
        <w:tc>
          <w:tcPr>
            <w:tcW w:w="1300" w:type="dxa"/>
            <w:vAlign w:val="bottom"/>
            <w:tcBorders>
              <w:bottom w:val="single" w:sz="8" w:color="auto"/>
            </w:tcBorders>
          </w:tcPr>
          <w:p>
            <w:pPr>
              <w:jc w:val="right"/>
              <w:ind w:right="109"/>
              <w:spacing w:after="0" w:line="126" w:lineRule="exact"/>
              <w:rPr>
                <w:sz w:val="20"/>
                <w:szCs w:val="20"/>
                <w:color w:val="auto"/>
              </w:rPr>
            </w:pPr>
            <w:r>
              <w:rPr>
                <w:rFonts w:ascii="Arial" w:cs="Arial" w:eastAsia="Arial" w:hAnsi="Arial"/>
                <w:sz w:val="10"/>
                <w:szCs w:val="10"/>
                <w:color w:val="auto"/>
              </w:rPr>
              <w:t>INR4,102,732</w:t>
            </w:r>
            <w:r>
              <w:rPr>
                <w:rFonts w:ascii="Arial" w:cs="Arial" w:eastAsia="Arial" w:hAnsi="Arial"/>
                <w:sz w:val="14"/>
                <w:szCs w:val="14"/>
                <w:color w:val="auto"/>
                <w:vertAlign w:val="superscript"/>
              </w:rPr>
              <w:t>(12)</w:t>
            </w:r>
          </w:p>
        </w:tc>
        <w:tc>
          <w:tcPr>
            <w:tcW w:w="0" w:type="dxa"/>
            <w:vAlign w:val="bottom"/>
          </w:tcPr>
          <w:p>
            <w:pPr>
              <w:spacing w:after="0"/>
              <w:rPr>
                <w:sz w:val="1"/>
                <w:szCs w:val="1"/>
                <w:color w:val="auto"/>
              </w:rPr>
            </w:pPr>
          </w:p>
        </w:tc>
      </w:tr>
      <w:tr>
        <w:trPr>
          <w:trHeight w:val="106"/>
        </w:trPr>
        <w:tc>
          <w:tcPr>
            <w:tcW w:w="2120" w:type="dxa"/>
            <w:vAlign w:val="bottom"/>
            <w:tcBorders>
              <w:bottom w:val="single" w:sz="8" w:color="auto"/>
              <w:right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Nalin Miglani</w:t>
            </w:r>
          </w:p>
        </w:tc>
        <w:tc>
          <w:tcPr>
            <w:tcW w:w="1320" w:type="dxa"/>
            <w:vAlign w:val="bottom"/>
            <w:tcBorders>
              <w:bottom w:val="single" w:sz="8" w:color="auto"/>
              <w:right w:val="single" w:sz="8" w:color="auto"/>
            </w:tcBorders>
          </w:tcPr>
          <w:p>
            <w:pPr>
              <w:jc w:val="right"/>
              <w:ind w:right="249"/>
              <w:spacing w:after="0" w:line="107" w:lineRule="exact"/>
              <w:rPr>
                <w:sz w:val="20"/>
                <w:szCs w:val="20"/>
                <w:color w:val="auto"/>
              </w:rPr>
            </w:pPr>
            <w:r>
              <w:rPr>
                <w:rFonts w:ascii="Arial" w:cs="Arial" w:eastAsia="Arial" w:hAnsi="Arial"/>
                <w:sz w:val="10"/>
                <w:szCs w:val="10"/>
                <w:color w:val="auto"/>
              </w:rPr>
              <w:t>450,000</w:t>
            </w:r>
          </w:p>
        </w:tc>
        <w:tc>
          <w:tcPr>
            <w:tcW w:w="1380" w:type="dxa"/>
            <w:vAlign w:val="bottom"/>
            <w:tcBorders>
              <w:bottom w:val="single" w:sz="8" w:color="auto"/>
              <w:right w:val="single" w:sz="8" w:color="auto"/>
            </w:tcBorders>
          </w:tcPr>
          <w:p>
            <w:pPr>
              <w:jc w:val="right"/>
              <w:ind w:right="249"/>
              <w:spacing w:after="0" w:line="107" w:lineRule="exact"/>
              <w:rPr>
                <w:sz w:val="20"/>
                <w:szCs w:val="20"/>
                <w:color w:val="auto"/>
              </w:rPr>
            </w:pPr>
            <w:r>
              <w:rPr>
                <w:rFonts w:ascii="Arial" w:cs="Arial" w:eastAsia="Arial" w:hAnsi="Arial"/>
                <w:sz w:val="10"/>
                <w:szCs w:val="10"/>
                <w:color w:val="auto"/>
              </w:rPr>
              <w:t>450,000</w:t>
            </w:r>
          </w:p>
        </w:tc>
        <w:tc>
          <w:tcPr>
            <w:tcW w:w="1520" w:type="dxa"/>
            <w:vAlign w:val="bottom"/>
            <w:tcBorders>
              <w:bottom w:val="single" w:sz="8" w:color="auto"/>
              <w:right w:val="single" w:sz="8" w:color="auto"/>
            </w:tcBorders>
          </w:tcPr>
          <w:p>
            <w:pPr>
              <w:jc w:val="right"/>
              <w:ind w:right="349"/>
              <w:spacing w:after="0" w:line="107" w:lineRule="exact"/>
              <w:rPr>
                <w:sz w:val="20"/>
                <w:szCs w:val="20"/>
                <w:color w:val="auto"/>
              </w:rPr>
            </w:pPr>
            <w:r>
              <w:rPr>
                <w:rFonts w:ascii="Arial" w:cs="Arial" w:eastAsia="Arial" w:hAnsi="Arial"/>
                <w:sz w:val="10"/>
                <w:szCs w:val="10"/>
                <w:color w:val="auto"/>
              </w:rPr>
              <w:t>463,525</w:t>
            </w:r>
          </w:p>
        </w:tc>
        <w:tc>
          <w:tcPr>
            <w:tcW w:w="1500" w:type="dxa"/>
            <w:vAlign w:val="bottom"/>
            <w:tcBorders>
              <w:bottom w:val="single" w:sz="8" w:color="auto"/>
              <w:right w:val="single" w:sz="8" w:color="auto"/>
            </w:tcBorders>
          </w:tcPr>
          <w:p>
            <w:pPr>
              <w:jc w:val="right"/>
              <w:ind w:right="349"/>
              <w:spacing w:after="0" w:line="107" w:lineRule="exact"/>
              <w:rPr>
                <w:sz w:val="20"/>
                <w:szCs w:val="20"/>
                <w:color w:val="auto"/>
              </w:rPr>
            </w:pPr>
            <w:r>
              <w:rPr>
                <w:rFonts w:ascii="Arial" w:cs="Arial" w:eastAsia="Arial" w:hAnsi="Arial"/>
                <w:sz w:val="10"/>
                <w:szCs w:val="10"/>
                <w:color w:val="auto"/>
              </w:rPr>
              <w:t>404,631</w:t>
            </w:r>
          </w:p>
        </w:tc>
        <w:tc>
          <w:tcPr>
            <w:tcW w:w="1300" w:type="dxa"/>
            <w:vAlign w:val="bottom"/>
            <w:tcBorders>
              <w:bottom w:val="single" w:sz="8" w:color="auto"/>
            </w:tcBorders>
          </w:tcPr>
          <w:p>
            <w:pPr>
              <w:jc w:val="right"/>
              <w:ind w:right="249"/>
              <w:spacing w:after="0" w:line="107" w:lineRule="exact"/>
              <w:rPr>
                <w:sz w:val="20"/>
                <w:szCs w:val="20"/>
                <w:color w:val="auto"/>
              </w:rPr>
            </w:pPr>
            <w:r>
              <w:rPr>
                <w:rFonts w:ascii="Arial" w:cs="Arial" w:eastAsia="Arial" w:hAnsi="Arial"/>
                <w:sz w:val="10"/>
                <w:szCs w:val="10"/>
                <w:color w:val="auto"/>
              </w:rPr>
              <w:t>58,893</w:t>
            </w:r>
          </w:p>
        </w:tc>
        <w:tc>
          <w:tcPr>
            <w:tcW w:w="0" w:type="dxa"/>
            <w:vAlign w:val="bottom"/>
          </w:tcPr>
          <w:p>
            <w:pPr>
              <w:spacing w:after="0"/>
              <w:rPr>
                <w:sz w:val="1"/>
                <w:szCs w:val="1"/>
                <w:color w:val="auto"/>
              </w:rPr>
            </w:pPr>
          </w:p>
        </w:tc>
      </w:tr>
      <w:tr>
        <w:trPr>
          <w:trHeight w:val="126"/>
        </w:trPr>
        <w:tc>
          <w:tcPr>
            <w:tcW w:w="2120" w:type="dxa"/>
            <w:vAlign w:val="bottom"/>
            <w:tcBorders>
              <w:bottom w:val="single" w:sz="8" w:color="auto"/>
              <w:right w:val="single" w:sz="8" w:color="auto"/>
            </w:tcBorders>
          </w:tcPr>
          <w:p>
            <w:pPr>
              <w:spacing w:after="0" w:line="126" w:lineRule="exact"/>
              <w:rPr>
                <w:sz w:val="20"/>
                <w:szCs w:val="20"/>
                <w:color w:val="auto"/>
              </w:rPr>
            </w:pPr>
            <w:r>
              <w:rPr>
                <w:rFonts w:ascii="Arial" w:cs="Arial" w:eastAsia="Arial" w:hAnsi="Arial"/>
                <w:sz w:val="10"/>
                <w:szCs w:val="10"/>
                <w:b w:val="1"/>
                <w:bCs w:val="1"/>
                <w:color w:val="auto"/>
              </w:rPr>
              <w:t>Vikas Bhalla</w:t>
            </w:r>
            <w:r>
              <w:rPr>
                <w:rFonts w:ascii="Arial" w:cs="Arial" w:eastAsia="Arial" w:hAnsi="Arial"/>
                <w:sz w:val="14"/>
                <w:szCs w:val="14"/>
                <w:b w:val="1"/>
                <w:bCs w:val="1"/>
                <w:color w:val="auto"/>
                <w:vertAlign w:val="superscript"/>
              </w:rPr>
              <w:t>(6)</w:t>
            </w:r>
          </w:p>
        </w:tc>
        <w:tc>
          <w:tcPr>
            <w:tcW w:w="1320" w:type="dxa"/>
            <w:vAlign w:val="bottom"/>
            <w:tcBorders>
              <w:bottom w:val="single" w:sz="8" w:color="auto"/>
              <w:right w:val="single" w:sz="8" w:color="auto"/>
            </w:tcBorders>
          </w:tcPr>
          <w:p>
            <w:pPr>
              <w:jc w:val="right"/>
              <w:ind w:right="149"/>
              <w:spacing w:after="0" w:line="126" w:lineRule="exact"/>
              <w:rPr>
                <w:sz w:val="20"/>
                <w:szCs w:val="20"/>
                <w:color w:val="auto"/>
              </w:rPr>
            </w:pPr>
            <w:r>
              <w:rPr>
                <w:rFonts w:ascii="Arial" w:cs="Arial" w:eastAsia="Arial" w:hAnsi="Arial"/>
                <w:sz w:val="10"/>
                <w:szCs w:val="10"/>
                <w:color w:val="auto"/>
              </w:rPr>
              <w:t>INR22,000,000</w:t>
            </w:r>
            <w:r>
              <w:rPr>
                <w:rFonts w:ascii="Arial" w:cs="Arial" w:eastAsia="Arial" w:hAnsi="Arial"/>
                <w:sz w:val="14"/>
                <w:szCs w:val="14"/>
                <w:color w:val="auto"/>
                <w:vertAlign w:val="superscript"/>
              </w:rPr>
              <w:t>(4)</w:t>
            </w:r>
          </w:p>
        </w:tc>
        <w:tc>
          <w:tcPr>
            <w:tcW w:w="1380" w:type="dxa"/>
            <w:vAlign w:val="bottom"/>
            <w:tcBorders>
              <w:bottom w:val="single" w:sz="8" w:color="auto"/>
              <w:right w:val="single" w:sz="8" w:color="auto"/>
            </w:tcBorders>
          </w:tcPr>
          <w:p>
            <w:pPr>
              <w:jc w:val="right"/>
              <w:ind w:right="149"/>
              <w:spacing w:after="0" w:line="126" w:lineRule="exact"/>
              <w:rPr>
                <w:sz w:val="20"/>
                <w:szCs w:val="20"/>
                <w:color w:val="auto"/>
              </w:rPr>
            </w:pPr>
            <w:r>
              <w:rPr>
                <w:rFonts w:ascii="Arial" w:cs="Arial" w:eastAsia="Arial" w:hAnsi="Arial"/>
                <w:sz w:val="10"/>
                <w:szCs w:val="10"/>
                <w:color w:val="auto"/>
              </w:rPr>
              <w:t>INR22,000,000</w:t>
            </w:r>
            <w:r>
              <w:rPr>
                <w:rFonts w:ascii="Arial" w:cs="Arial" w:eastAsia="Arial" w:hAnsi="Arial"/>
                <w:sz w:val="14"/>
                <w:szCs w:val="14"/>
                <w:color w:val="auto"/>
                <w:vertAlign w:val="superscript"/>
              </w:rPr>
              <w:t>(5)</w:t>
            </w:r>
          </w:p>
        </w:tc>
        <w:tc>
          <w:tcPr>
            <w:tcW w:w="1520" w:type="dxa"/>
            <w:vAlign w:val="bottom"/>
            <w:tcBorders>
              <w:bottom w:val="single" w:sz="8" w:color="auto"/>
              <w:right w:val="single" w:sz="8" w:color="auto"/>
            </w:tcBorders>
          </w:tcPr>
          <w:p>
            <w:pPr>
              <w:jc w:val="right"/>
              <w:ind w:right="209"/>
              <w:spacing w:after="0" w:line="126" w:lineRule="exact"/>
              <w:rPr>
                <w:sz w:val="20"/>
                <w:szCs w:val="20"/>
                <w:color w:val="auto"/>
              </w:rPr>
            </w:pPr>
            <w:r>
              <w:rPr>
                <w:rFonts w:ascii="Arial" w:cs="Arial" w:eastAsia="Arial" w:hAnsi="Arial"/>
                <w:sz w:val="10"/>
                <w:szCs w:val="10"/>
                <w:color w:val="auto"/>
              </w:rPr>
              <w:t>INR23,878,415</w:t>
            </w:r>
            <w:r>
              <w:rPr>
                <w:rFonts w:ascii="Arial" w:cs="Arial" w:eastAsia="Arial" w:hAnsi="Arial"/>
                <w:sz w:val="14"/>
                <w:szCs w:val="14"/>
                <w:color w:val="auto"/>
                <w:vertAlign w:val="superscript"/>
              </w:rPr>
              <w:t>(13)</w:t>
            </w:r>
          </w:p>
        </w:tc>
        <w:tc>
          <w:tcPr>
            <w:tcW w:w="1500" w:type="dxa"/>
            <w:vAlign w:val="bottom"/>
            <w:tcBorders>
              <w:bottom w:val="single" w:sz="8" w:color="auto"/>
              <w:right w:val="single" w:sz="8" w:color="auto"/>
            </w:tcBorders>
          </w:tcPr>
          <w:p>
            <w:pPr>
              <w:jc w:val="right"/>
              <w:ind w:right="209"/>
              <w:spacing w:after="0" w:line="126" w:lineRule="exact"/>
              <w:rPr>
                <w:sz w:val="20"/>
                <w:szCs w:val="20"/>
                <w:color w:val="auto"/>
              </w:rPr>
            </w:pPr>
            <w:r>
              <w:rPr>
                <w:rFonts w:ascii="Arial" w:cs="Arial" w:eastAsia="Arial" w:hAnsi="Arial"/>
                <w:sz w:val="10"/>
                <w:szCs w:val="10"/>
                <w:color w:val="auto"/>
              </w:rPr>
              <w:t>INR19,800,002</w:t>
            </w:r>
            <w:r>
              <w:rPr>
                <w:rFonts w:ascii="Arial" w:cs="Arial" w:eastAsia="Arial" w:hAnsi="Arial"/>
                <w:sz w:val="14"/>
                <w:szCs w:val="14"/>
                <w:color w:val="auto"/>
                <w:vertAlign w:val="superscript"/>
              </w:rPr>
              <w:t>(14)</w:t>
            </w:r>
          </w:p>
        </w:tc>
        <w:tc>
          <w:tcPr>
            <w:tcW w:w="1300" w:type="dxa"/>
            <w:vAlign w:val="bottom"/>
            <w:tcBorders>
              <w:bottom w:val="single" w:sz="8" w:color="auto"/>
            </w:tcBorders>
          </w:tcPr>
          <w:p>
            <w:pPr>
              <w:jc w:val="right"/>
              <w:ind w:right="109"/>
              <w:spacing w:after="0" w:line="126" w:lineRule="exact"/>
              <w:rPr>
                <w:sz w:val="20"/>
                <w:szCs w:val="20"/>
                <w:color w:val="auto"/>
              </w:rPr>
            </w:pPr>
            <w:r>
              <w:rPr>
                <w:rFonts w:ascii="Arial" w:cs="Arial" w:eastAsia="Arial" w:hAnsi="Arial"/>
                <w:sz w:val="10"/>
                <w:szCs w:val="10"/>
                <w:color w:val="auto"/>
              </w:rPr>
              <w:t>INR4,078,413</w:t>
            </w:r>
            <w:r>
              <w:rPr>
                <w:rFonts w:ascii="Arial" w:cs="Arial" w:eastAsia="Arial" w:hAnsi="Arial"/>
                <w:sz w:val="14"/>
                <w:szCs w:val="14"/>
                <w:color w:val="auto"/>
                <w:vertAlign w:val="superscript"/>
              </w:rPr>
              <w:t>(15)</w:t>
            </w:r>
          </w:p>
        </w:tc>
        <w:tc>
          <w:tcPr>
            <w:tcW w:w="0" w:type="dxa"/>
            <w:vAlign w:val="bottom"/>
          </w:tcPr>
          <w:p>
            <w:pPr>
              <w:spacing w:after="0"/>
              <w:rPr>
                <w:sz w:val="1"/>
                <w:szCs w:val="1"/>
                <w:color w:val="auto"/>
              </w:rPr>
            </w:pPr>
          </w:p>
        </w:tc>
      </w:tr>
      <w:tr>
        <w:trPr>
          <w:trHeight w:val="116"/>
        </w:trPr>
        <w:tc>
          <w:tcPr>
            <w:tcW w:w="2120" w:type="dxa"/>
            <w:vAlign w:val="bottom"/>
            <w:tcBorders>
              <w:bottom w:val="single" w:sz="8" w:color="479EFF"/>
              <w:right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Samuel Meckey</w:t>
            </w:r>
          </w:p>
        </w:tc>
        <w:tc>
          <w:tcPr>
            <w:tcW w:w="1320" w:type="dxa"/>
            <w:vAlign w:val="bottom"/>
            <w:tcBorders>
              <w:bottom w:val="single" w:sz="8" w:color="479EFF"/>
              <w:right w:val="single" w:sz="8" w:color="auto"/>
            </w:tcBorders>
          </w:tcPr>
          <w:p>
            <w:pPr>
              <w:jc w:val="right"/>
              <w:ind w:right="249"/>
              <w:spacing w:after="0" w:line="107" w:lineRule="exact"/>
              <w:rPr>
                <w:sz w:val="20"/>
                <w:szCs w:val="20"/>
                <w:color w:val="auto"/>
              </w:rPr>
            </w:pPr>
            <w:r>
              <w:rPr>
                <w:rFonts w:ascii="Arial" w:cs="Arial" w:eastAsia="Arial" w:hAnsi="Arial"/>
                <w:sz w:val="10"/>
                <w:szCs w:val="10"/>
                <w:color w:val="auto"/>
              </w:rPr>
              <w:t>425,000</w:t>
            </w:r>
          </w:p>
        </w:tc>
        <w:tc>
          <w:tcPr>
            <w:tcW w:w="1380" w:type="dxa"/>
            <w:vAlign w:val="bottom"/>
            <w:tcBorders>
              <w:bottom w:val="single" w:sz="8" w:color="479EFF"/>
              <w:right w:val="single" w:sz="8" w:color="auto"/>
            </w:tcBorders>
          </w:tcPr>
          <w:p>
            <w:pPr>
              <w:jc w:val="right"/>
              <w:ind w:right="249"/>
              <w:spacing w:after="0" w:line="107" w:lineRule="exact"/>
              <w:rPr>
                <w:sz w:val="20"/>
                <w:szCs w:val="20"/>
                <w:color w:val="auto"/>
              </w:rPr>
            </w:pPr>
            <w:r>
              <w:rPr>
                <w:rFonts w:ascii="Arial" w:cs="Arial" w:eastAsia="Arial" w:hAnsi="Arial"/>
                <w:sz w:val="10"/>
                <w:szCs w:val="10"/>
                <w:color w:val="auto"/>
              </w:rPr>
              <w:t>425,000</w:t>
            </w:r>
          </w:p>
        </w:tc>
        <w:tc>
          <w:tcPr>
            <w:tcW w:w="1520" w:type="dxa"/>
            <w:vAlign w:val="bottom"/>
            <w:tcBorders>
              <w:bottom w:val="single" w:sz="8" w:color="479EFF"/>
              <w:right w:val="single" w:sz="8" w:color="auto"/>
            </w:tcBorders>
          </w:tcPr>
          <w:p>
            <w:pPr>
              <w:jc w:val="right"/>
              <w:ind w:right="349"/>
              <w:spacing w:after="0" w:line="107" w:lineRule="exact"/>
              <w:rPr>
                <w:sz w:val="20"/>
                <w:szCs w:val="20"/>
                <w:color w:val="auto"/>
              </w:rPr>
            </w:pPr>
            <w:r>
              <w:rPr>
                <w:rFonts w:ascii="Arial" w:cs="Arial" w:eastAsia="Arial" w:hAnsi="Arial"/>
                <w:sz w:val="10"/>
                <w:szCs w:val="10"/>
                <w:color w:val="auto"/>
              </w:rPr>
              <w:t>437,773</w:t>
            </w:r>
          </w:p>
        </w:tc>
        <w:tc>
          <w:tcPr>
            <w:tcW w:w="1500" w:type="dxa"/>
            <w:vAlign w:val="bottom"/>
            <w:tcBorders>
              <w:bottom w:val="single" w:sz="8" w:color="479EFF"/>
              <w:right w:val="single" w:sz="8" w:color="auto"/>
            </w:tcBorders>
          </w:tcPr>
          <w:p>
            <w:pPr>
              <w:jc w:val="right"/>
              <w:ind w:right="349"/>
              <w:spacing w:after="0" w:line="107" w:lineRule="exact"/>
              <w:rPr>
                <w:sz w:val="20"/>
                <w:szCs w:val="20"/>
                <w:color w:val="auto"/>
              </w:rPr>
            </w:pPr>
            <w:r>
              <w:rPr>
                <w:rFonts w:ascii="Arial" w:cs="Arial" w:eastAsia="Arial" w:hAnsi="Arial"/>
                <w:sz w:val="10"/>
                <w:szCs w:val="10"/>
                <w:color w:val="auto"/>
              </w:rPr>
              <w:t>382,152</w:t>
            </w:r>
          </w:p>
        </w:tc>
        <w:tc>
          <w:tcPr>
            <w:tcW w:w="1300" w:type="dxa"/>
            <w:vAlign w:val="bottom"/>
            <w:tcBorders>
              <w:bottom w:val="single" w:sz="8" w:color="479EFF"/>
            </w:tcBorders>
          </w:tcPr>
          <w:p>
            <w:pPr>
              <w:jc w:val="right"/>
              <w:ind w:right="249"/>
              <w:spacing w:after="0" w:line="107" w:lineRule="exact"/>
              <w:rPr>
                <w:sz w:val="20"/>
                <w:szCs w:val="20"/>
                <w:color w:val="auto"/>
              </w:rPr>
            </w:pPr>
            <w:r>
              <w:rPr>
                <w:rFonts w:ascii="Arial" w:cs="Arial" w:eastAsia="Arial" w:hAnsi="Arial"/>
                <w:sz w:val="10"/>
                <w:szCs w:val="10"/>
                <w:color w:val="auto"/>
              </w:rPr>
              <w:t>55,622</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62" w:hanging="162"/>
        <w:spacing w:after="0"/>
        <w:tabs>
          <w:tab w:leader="none" w:pos="162" w:val="left"/>
        </w:tabs>
        <w:numPr>
          <w:ilvl w:val="0"/>
          <w:numId w:val="60"/>
        </w:numPr>
        <w:rPr>
          <w:rFonts w:ascii="Arial" w:cs="Arial" w:eastAsia="Arial" w:hAnsi="Arial"/>
          <w:sz w:val="10"/>
          <w:szCs w:val="10"/>
          <w:color w:val="auto"/>
        </w:rPr>
      </w:pPr>
      <w:r>
        <w:rPr>
          <w:rFonts w:ascii="Arial" w:cs="Arial" w:eastAsia="Arial" w:hAnsi="Arial"/>
          <w:sz w:val="10"/>
          <w:szCs w:val="10"/>
          <w:color w:val="auto"/>
        </w:rPr>
        <w:t>Mr. Nicolelli joined us on February 3, 2020. As such, he was not eligible for a base salary increase in 2020 and this table shows his approved and actual earned base salary prorated from his start date.</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60"/>
        </w:numPr>
        <w:rPr>
          <w:rFonts w:ascii="Arial" w:cs="Arial" w:eastAsia="Arial" w:hAnsi="Arial"/>
          <w:sz w:val="10"/>
          <w:szCs w:val="10"/>
          <w:color w:val="auto"/>
        </w:rPr>
      </w:pPr>
      <w:r>
        <w:rPr>
          <w:rFonts w:ascii="Arial" w:cs="Arial" w:eastAsia="Arial" w:hAnsi="Arial"/>
          <w:sz w:val="10"/>
          <w:szCs w:val="10"/>
          <w:color w:val="auto"/>
        </w:rPr>
        <w:t>Equivalent to $364,248, converted at 71.38 INR to 1 USD, which was the exchange rate on December 31, 2019.</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60"/>
        </w:numPr>
        <w:rPr>
          <w:rFonts w:ascii="Arial" w:cs="Arial" w:eastAsia="Arial" w:hAnsi="Arial"/>
          <w:sz w:val="10"/>
          <w:szCs w:val="10"/>
          <w:color w:val="auto"/>
        </w:rPr>
      </w:pPr>
      <w:r>
        <w:rPr>
          <w:rFonts w:ascii="Arial" w:cs="Arial" w:eastAsia="Arial" w:hAnsi="Arial"/>
          <w:sz w:val="10"/>
          <w:szCs w:val="10"/>
          <w:color w:val="auto"/>
        </w:rPr>
        <w:t>Equivalent to $355,848, converted at 73.065 INR to 1 USD, which was the exchange rate on December 31, 2020.</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60"/>
        </w:numPr>
        <w:rPr>
          <w:rFonts w:ascii="Arial" w:cs="Arial" w:eastAsia="Arial" w:hAnsi="Arial"/>
          <w:sz w:val="10"/>
          <w:szCs w:val="10"/>
          <w:color w:val="auto"/>
        </w:rPr>
      </w:pPr>
      <w:r>
        <w:rPr>
          <w:rFonts w:ascii="Arial" w:cs="Arial" w:eastAsia="Arial" w:hAnsi="Arial"/>
          <w:sz w:val="10"/>
          <w:szCs w:val="10"/>
          <w:color w:val="auto"/>
        </w:rPr>
        <w:t>Equivalent to $308,210, converted at 71.38 INR to 1 USD, which was the exchange rate on December 31, 2019.</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60"/>
        </w:numPr>
        <w:rPr>
          <w:rFonts w:ascii="Arial" w:cs="Arial" w:eastAsia="Arial" w:hAnsi="Arial"/>
          <w:sz w:val="10"/>
          <w:szCs w:val="10"/>
          <w:color w:val="auto"/>
        </w:rPr>
      </w:pPr>
      <w:r>
        <w:rPr>
          <w:rFonts w:ascii="Arial" w:cs="Arial" w:eastAsia="Arial" w:hAnsi="Arial"/>
          <w:sz w:val="10"/>
          <w:szCs w:val="10"/>
          <w:color w:val="auto"/>
        </w:rPr>
        <w:t>Equivalent to $301,102, converted at 73.065 INR to 1 USD, which was the exchange rate on December 31, 2020.</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 annual fixed compensation paid to Messrs. Bagai and Bhalla is in Indian rupees (INR).</w:t>
      </w:r>
    </w:p>
    <w:p>
      <w:pPr>
        <w:spacing w:after="0" w:line="157" w:lineRule="exact"/>
        <w:rPr>
          <w:rFonts w:ascii="Arial" w:cs="Arial" w:eastAsia="Arial" w:hAnsi="Arial"/>
          <w:sz w:val="10"/>
          <w:szCs w:val="10"/>
          <w:color w:val="auto"/>
        </w:rPr>
      </w:pPr>
    </w:p>
    <w:p>
      <w:pPr>
        <w:ind w:left="2" w:right="40" w:hanging="2"/>
        <w:spacing w:after="0" w:line="262" w:lineRule="auto"/>
        <w:tabs>
          <w:tab w:leader="none" w:pos="158"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 Compensation Committee approved base salary increases in February 2020; however, as noted above these increases were deferred and did not come into effect during the 2020 fiscal year. The following base salary or annual fixed compensation amounts were approved, but not implemented: $750,000 for Mr. Kapoor; INR 28,000,000 for Mr. Bagai; $468,000 for Mr. Miglani; INR 24,500,000 for Mr. Bhalla; and $442,000 for Mr. Meckey.</w:t>
      </w:r>
    </w:p>
    <w:p>
      <w:pPr>
        <w:spacing w:after="0" w:line="137" w:lineRule="exact"/>
        <w:rPr>
          <w:rFonts w:ascii="Arial" w:cs="Arial" w:eastAsia="Arial" w:hAnsi="Arial"/>
          <w:sz w:val="10"/>
          <w:szCs w:val="10"/>
          <w:color w:val="auto"/>
        </w:rPr>
      </w:pPr>
    </w:p>
    <w:p>
      <w:pPr>
        <w:ind w:left="162" w:hanging="162"/>
        <w:spacing w:after="0"/>
        <w:tabs>
          <w:tab w:leader="none" w:pos="162" w:val="left"/>
        </w:tabs>
        <w:numPr>
          <w:ilvl w:val="0"/>
          <w:numId w:val="60"/>
        </w:numPr>
        <w:rPr>
          <w:rFonts w:ascii="Arial" w:cs="Arial" w:eastAsia="Arial" w:hAnsi="Arial"/>
          <w:sz w:val="10"/>
          <w:szCs w:val="10"/>
          <w:color w:val="auto"/>
        </w:rPr>
      </w:pPr>
      <w:r>
        <w:rPr>
          <w:rFonts w:ascii="Arial" w:cs="Arial" w:eastAsia="Arial" w:hAnsi="Arial"/>
          <w:sz w:val="10"/>
          <w:szCs w:val="10"/>
          <w:color w:val="auto"/>
        </w:rPr>
        <w:t>Base salary increases were to be effective on April 1, 2020.</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60"/>
        </w:numPr>
        <w:rPr>
          <w:rFonts w:ascii="Arial" w:cs="Arial" w:eastAsia="Arial" w:hAnsi="Arial"/>
          <w:sz w:val="10"/>
          <w:szCs w:val="10"/>
          <w:color w:val="auto"/>
        </w:rPr>
      </w:pPr>
      <w:r>
        <w:rPr>
          <w:rFonts w:ascii="Arial" w:cs="Arial" w:eastAsia="Arial" w:hAnsi="Arial"/>
          <w:sz w:val="10"/>
          <w:szCs w:val="10"/>
          <w:color w:val="auto"/>
        </w:rPr>
        <w:t>Includes the deferral of the approved 2020 base salaries, as well as the reduction of Mr. Kapoor's base salary by 50%, and our other named executive officers' base salaries by 30% from May 1, 2020 through August 31, 2020.</w:t>
      </w:r>
    </w:p>
    <w:p>
      <w:pPr>
        <w:spacing w:after="0" w:line="157" w:lineRule="exact"/>
        <w:rPr>
          <w:rFonts w:ascii="Arial" w:cs="Arial" w:eastAsia="Arial" w:hAnsi="Arial"/>
          <w:sz w:val="10"/>
          <w:szCs w:val="10"/>
          <w:color w:val="auto"/>
        </w:rPr>
      </w:pPr>
    </w:p>
    <w:p>
      <w:pPr>
        <w:ind w:left="222" w:hanging="222"/>
        <w:spacing w:after="0"/>
        <w:tabs>
          <w:tab w:leader="none" w:pos="222" w:val="left"/>
        </w:tabs>
        <w:numPr>
          <w:ilvl w:val="0"/>
          <w:numId w:val="60"/>
        </w:numPr>
        <w:rPr>
          <w:rFonts w:ascii="Arial" w:cs="Arial" w:eastAsia="Arial" w:hAnsi="Arial"/>
          <w:sz w:val="10"/>
          <w:szCs w:val="10"/>
          <w:color w:val="auto"/>
        </w:rPr>
      </w:pPr>
      <w:r>
        <w:rPr>
          <w:rFonts w:ascii="Arial" w:cs="Arial" w:eastAsia="Arial" w:hAnsi="Arial"/>
          <w:sz w:val="10"/>
          <w:szCs w:val="10"/>
          <w:color w:val="auto"/>
        </w:rPr>
        <w:t>Equivalent to $376,415, converted at 73.065 INR to 1 USD, which was the exchange rate on December 31, 2020.</w:t>
      </w:r>
    </w:p>
    <w:p>
      <w:pPr>
        <w:spacing w:after="0" w:line="157" w:lineRule="exact"/>
        <w:rPr>
          <w:rFonts w:ascii="Arial" w:cs="Arial" w:eastAsia="Arial" w:hAnsi="Arial"/>
          <w:sz w:val="10"/>
          <w:szCs w:val="10"/>
          <w:color w:val="auto"/>
        </w:rPr>
      </w:pPr>
    </w:p>
    <w:p>
      <w:pPr>
        <w:ind w:left="222" w:hanging="222"/>
        <w:spacing w:after="0"/>
        <w:tabs>
          <w:tab w:leader="none" w:pos="222" w:val="left"/>
        </w:tabs>
        <w:numPr>
          <w:ilvl w:val="0"/>
          <w:numId w:val="60"/>
        </w:numPr>
        <w:rPr>
          <w:rFonts w:ascii="Arial" w:cs="Arial" w:eastAsia="Arial" w:hAnsi="Arial"/>
          <w:sz w:val="10"/>
          <w:szCs w:val="10"/>
          <w:color w:val="auto"/>
        </w:rPr>
      </w:pPr>
      <w:r>
        <w:rPr>
          <w:rFonts w:ascii="Arial" w:cs="Arial" w:eastAsia="Arial" w:hAnsi="Arial"/>
          <w:sz w:val="10"/>
          <w:szCs w:val="10"/>
          <w:color w:val="auto"/>
        </w:rPr>
        <w:t>Equivalent to $320,263, converted at 73.065 INR to 1 USD, which was the exchange rate on December 31, 2020.</w:t>
      </w:r>
    </w:p>
    <w:p>
      <w:pPr>
        <w:spacing w:after="0" w:line="157" w:lineRule="exact"/>
        <w:rPr>
          <w:rFonts w:ascii="Arial" w:cs="Arial" w:eastAsia="Arial" w:hAnsi="Arial"/>
          <w:sz w:val="10"/>
          <w:szCs w:val="10"/>
          <w:color w:val="auto"/>
        </w:rPr>
      </w:pPr>
    </w:p>
    <w:p>
      <w:pPr>
        <w:ind w:left="222" w:hanging="222"/>
        <w:spacing w:after="0"/>
        <w:tabs>
          <w:tab w:leader="none" w:pos="222" w:val="left"/>
        </w:tabs>
        <w:numPr>
          <w:ilvl w:val="0"/>
          <w:numId w:val="60"/>
        </w:numPr>
        <w:rPr>
          <w:rFonts w:ascii="Arial" w:cs="Arial" w:eastAsia="Arial" w:hAnsi="Arial"/>
          <w:sz w:val="10"/>
          <w:szCs w:val="10"/>
          <w:color w:val="auto"/>
        </w:rPr>
      </w:pPr>
      <w:r>
        <w:rPr>
          <w:rFonts w:ascii="Arial" w:cs="Arial" w:eastAsia="Arial" w:hAnsi="Arial"/>
          <w:sz w:val="10"/>
          <w:szCs w:val="10"/>
          <w:color w:val="auto"/>
        </w:rPr>
        <w:t>Equivalent to $56,152 converted at 73.065 INR to 1 USD, which was the exchange rate on December 31, 2020.</w:t>
      </w:r>
    </w:p>
    <w:p>
      <w:pPr>
        <w:spacing w:after="0" w:line="157" w:lineRule="exact"/>
        <w:rPr>
          <w:rFonts w:ascii="Arial" w:cs="Arial" w:eastAsia="Arial" w:hAnsi="Arial"/>
          <w:sz w:val="10"/>
          <w:szCs w:val="10"/>
          <w:color w:val="auto"/>
        </w:rPr>
      </w:pPr>
    </w:p>
    <w:p>
      <w:pPr>
        <w:ind w:left="222" w:hanging="222"/>
        <w:spacing w:after="0"/>
        <w:tabs>
          <w:tab w:leader="none" w:pos="222" w:val="left"/>
        </w:tabs>
        <w:numPr>
          <w:ilvl w:val="0"/>
          <w:numId w:val="60"/>
        </w:numPr>
        <w:rPr>
          <w:rFonts w:ascii="Arial" w:cs="Arial" w:eastAsia="Arial" w:hAnsi="Arial"/>
          <w:sz w:val="10"/>
          <w:szCs w:val="10"/>
          <w:color w:val="auto"/>
        </w:rPr>
      </w:pPr>
      <w:r>
        <w:rPr>
          <w:rFonts w:ascii="Arial" w:cs="Arial" w:eastAsia="Arial" w:hAnsi="Arial"/>
          <w:sz w:val="10"/>
          <w:szCs w:val="10"/>
          <w:color w:val="auto"/>
        </w:rPr>
        <w:t>Equivalent to $326,811, converted at 73.065 INR to 1 USD, which was the exchange rate on December 31, 2020.</w:t>
      </w:r>
    </w:p>
    <w:p>
      <w:pPr>
        <w:spacing w:after="0" w:line="157" w:lineRule="exact"/>
        <w:rPr>
          <w:rFonts w:ascii="Arial" w:cs="Arial" w:eastAsia="Arial" w:hAnsi="Arial"/>
          <w:sz w:val="10"/>
          <w:szCs w:val="10"/>
          <w:color w:val="auto"/>
        </w:rPr>
      </w:pPr>
    </w:p>
    <w:p>
      <w:pPr>
        <w:ind w:left="222" w:hanging="222"/>
        <w:spacing w:after="0"/>
        <w:tabs>
          <w:tab w:leader="none" w:pos="222" w:val="left"/>
        </w:tabs>
        <w:numPr>
          <w:ilvl w:val="0"/>
          <w:numId w:val="60"/>
        </w:numPr>
        <w:rPr>
          <w:rFonts w:ascii="Arial" w:cs="Arial" w:eastAsia="Arial" w:hAnsi="Arial"/>
          <w:sz w:val="10"/>
          <w:szCs w:val="10"/>
          <w:color w:val="auto"/>
        </w:rPr>
      </w:pPr>
      <w:r>
        <w:rPr>
          <w:rFonts w:ascii="Arial" w:cs="Arial" w:eastAsia="Arial" w:hAnsi="Arial"/>
          <w:sz w:val="10"/>
          <w:szCs w:val="10"/>
          <w:color w:val="auto"/>
        </w:rPr>
        <w:t>Equivalent to $270,992, converted at 73.065 INR to 1 USD, which was the exchange rate on December 31, 2020.</w:t>
      </w:r>
    </w:p>
    <w:p>
      <w:pPr>
        <w:spacing w:after="0" w:line="157" w:lineRule="exact"/>
        <w:rPr>
          <w:rFonts w:ascii="Arial" w:cs="Arial" w:eastAsia="Arial" w:hAnsi="Arial"/>
          <w:sz w:val="10"/>
          <w:szCs w:val="10"/>
          <w:color w:val="auto"/>
        </w:rPr>
      </w:pPr>
    </w:p>
    <w:p>
      <w:pPr>
        <w:ind w:left="222" w:hanging="222"/>
        <w:spacing w:after="0"/>
        <w:tabs>
          <w:tab w:leader="none" w:pos="222" w:val="left"/>
        </w:tabs>
        <w:numPr>
          <w:ilvl w:val="0"/>
          <w:numId w:val="60"/>
        </w:numPr>
        <w:rPr>
          <w:rFonts w:ascii="Arial" w:cs="Arial" w:eastAsia="Arial" w:hAnsi="Arial"/>
          <w:sz w:val="10"/>
          <w:szCs w:val="10"/>
          <w:color w:val="auto"/>
        </w:rPr>
      </w:pPr>
      <w:r>
        <w:rPr>
          <w:rFonts w:ascii="Arial" w:cs="Arial" w:eastAsia="Arial" w:hAnsi="Arial"/>
          <w:sz w:val="10"/>
          <w:szCs w:val="10"/>
          <w:color w:val="auto"/>
        </w:rPr>
        <w:t>Equivalent to $55,819, converted at 73.065 INR to 1 USD, which was the exchange rate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1408430" cy="3333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2"/>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241300</wp:posOffset>
            </wp:positionV>
            <wp:extent cx="717740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022"/>
          </w:cols>
          <w:pgMar w:left="298" w:top="142" w:right="579" w:bottom="1440" w:gutter="0" w:footer="0" w:header="0"/>
        </w:sectPr>
      </w:pPr>
    </w:p>
    <w:bookmarkStart w:id="75" w:name="page76"/>
    <w:bookmarkEnd w:id="75"/>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Incentive Bonus</w:t>
      </w:r>
    </w:p>
    <w:p>
      <w:pPr>
        <w:spacing w:after="0" w:line="168" w:lineRule="exact"/>
        <w:rPr>
          <w:sz w:val="20"/>
          <w:szCs w:val="20"/>
          <w:color w:val="auto"/>
        </w:rPr>
      </w:pPr>
    </w:p>
    <w:p>
      <w:pPr>
        <w:ind w:right="40"/>
        <w:spacing w:after="0" w:line="235" w:lineRule="auto"/>
        <w:rPr>
          <w:sz w:val="20"/>
          <w:szCs w:val="20"/>
          <w:color w:val="auto"/>
        </w:rPr>
      </w:pPr>
      <w:r>
        <w:rPr>
          <w:rFonts w:ascii="Arial" w:cs="Arial" w:eastAsia="Arial" w:hAnsi="Arial"/>
          <w:sz w:val="13"/>
          <w:szCs w:val="13"/>
          <w:color w:val="auto"/>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late 2019 for the year 2020 for bonuses payable in respect of 2020 performance. Under the program, bonus target amounts, expressed as a percentage of base salary or 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our assessment of each named executive officer's performance relative to his predetermined individual performance goals. If our performance falls short of target, our aggregate funding of the annual cash bonus incentive pool declines. If we do not achieve a minimum threshold for the established financial performance objectives, then the bonus pool is not funded for that particular objective. Although the Compensation Committee has not historically done so, it has the discretion under the 2018 Plan to adjust an award payout from the amount yielded by the formula at the end of the performance period for reasons such as the effect of changes in laws or regulatory rules, acquisitions or divestitures, extraordinary accounting items, foreign exchange gains or losses, and/or any specific unusual or non-recurring events. As discussed in greater detail below, the Compensation Committee utilized this discretion for the year 2020 in light of the unanticipated impact of the COVID-19 global pandemic.</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Our Compensation Committee considered the following when establishing the awards for 2020:</w:t>
      </w:r>
    </w:p>
    <w:p>
      <w:pPr>
        <w:spacing w:after="0" w:line="136"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b w:val="1"/>
          <w:bCs w:val="1"/>
          <w:color w:val="auto"/>
        </w:rPr>
        <w:t xml:space="preserve">Bonus Targets. </w:t>
      </w:r>
      <w:r>
        <w:rPr>
          <w:rFonts w:ascii="Arial" w:cs="Arial" w:eastAsia="Arial" w:hAnsi="Arial"/>
          <w:sz w:val="13"/>
          <w:szCs w:val="13"/>
          <w:color w:val="auto"/>
        </w:rPr>
        <w:t>Bonus targets were established based on job responsibilities and comparable market data. Our objective was to set bonus targets such that total annual cash compensation was within</w:t>
      </w:r>
      <w:r>
        <w:rPr>
          <w:rFonts w:ascii="Arial" w:cs="Arial" w:eastAsia="Arial" w:hAnsi="Arial"/>
          <w:sz w:val="13"/>
          <w:szCs w:val="13"/>
          <w:b w:val="1"/>
          <w:bCs w:val="1"/>
          <w:color w:val="auto"/>
        </w:rPr>
        <w:t xml:space="preserve"> </w:t>
      </w:r>
      <w:r>
        <w:rPr>
          <w:rFonts w:ascii="Arial" w:cs="Arial" w:eastAsia="Arial" w:hAnsi="Arial"/>
          <w:sz w:val="13"/>
          <w:szCs w:val="13"/>
          <w:color w:val="auto"/>
        </w:rPr>
        <w:t>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2020, our Compensation Committee established the following bonus targets (expressed as a percentage of base salary or annual fixed compensation) as well as maximum bonus targets for each named executive officer.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300" w:type="dxa"/>
            <w:vAlign w:val="bottom"/>
            <w:tcBorders>
              <w:bottom w:val="single" w:sz="8" w:color="479EFF"/>
            </w:tcBorders>
          </w:tcPr>
          <w:p>
            <w:pPr>
              <w:spacing w:after="0"/>
              <w:rPr>
                <w:sz w:val="20"/>
                <w:szCs w:val="20"/>
                <w:color w:val="auto"/>
              </w:rPr>
            </w:pPr>
            <w:r>
              <w:rPr>
                <w:rFonts w:ascii="Arial" w:cs="Arial" w:eastAsia="Arial" w:hAnsi="Arial"/>
                <w:sz w:val="10"/>
                <w:szCs w:val="10"/>
                <w:b w:val="1"/>
                <w:bCs w:val="1"/>
                <w:color w:val="479EFF"/>
              </w:rPr>
              <w:t>Name</w:t>
            </w:r>
          </w:p>
        </w:tc>
        <w:tc>
          <w:tcPr>
            <w:tcW w:w="4660" w:type="dxa"/>
            <w:vAlign w:val="bottom"/>
            <w:tcBorders>
              <w:bottom w:val="single" w:sz="8" w:color="479EFF"/>
            </w:tcBorders>
          </w:tcPr>
          <w:p>
            <w:pPr>
              <w:ind w:left="1900"/>
              <w:spacing w:after="0"/>
              <w:rPr>
                <w:sz w:val="20"/>
                <w:szCs w:val="20"/>
                <w:color w:val="auto"/>
              </w:rPr>
            </w:pPr>
            <w:r>
              <w:rPr>
                <w:rFonts w:ascii="Arial" w:cs="Arial" w:eastAsia="Arial" w:hAnsi="Arial"/>
                <w:sz w:val="10"/>
                <w:szCs w:val="10"/>
                <w:b w:val="1"/>
                <w:bCs w:val="1"/>
                <w:color w:val="479EFF"/>
              </w:rPr>
              <w:t>Bonus Target</w:t>
            </w:r>
          </w:p>
        </w:tc>
        <w:tc>
          <w:tcPr>
            <w:tcW w:w="4340" w:type="dxa"/>
            <w:vAlign w:val="bottom"/>
            <w:tcBorders>
              <w:bottom w:val="single" w:sz="8" w:color="479EFF"/>
            </w:tcBorders>
          </w:tcPr>
          <w:p>
            <w:pPr>
              <w:ind w:left="1820"/>
              <w:spacing w:after="0"/>
              <w:rPr>
                <w:sz w:val="20"/>
                <w:szCs w:val="20"/>
                <w:color w:val="auto"/>
              </w:rPr>
            </w:pPr>
            <w:r>
              <w:rPr>
                <w:rFonts w:ascii="Arial" w:cs="Arial" w:eastAsia="Arial" w:hAnsi="Arial"/>
                <w:sz w:val="10"/>
                <w:szCs w:val="10"/>
                <w:b w:val="1"/>
                <w:bCs w:val="1"/>
                <w:color w:val="479EFF"/>
              </w:rPr>
              <w:t>Bonus Maximum</w:t>
            </w:r>
          </w:p>
        </w:tc>
      </w:tr>
      <w:tr>
        <w:trPr>
          <w:trHeight w:val="146"/>
        </w:trPr>
        <w:tc>
          <w:tcPr>
            <w:tcW w:w="230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Rohit Kapoor</w:t>
            </w:r>
          </w:p>
        </w:tc>
        <w:tc>
          <w:tcPr>
            <w:tcW w:w="4660" w:type="dxa"/>
            <w:vAlign w:val="bottom"/>
            <w:tcBorders>
              <w:bottom w:val="single" w:sz="8" w:color="auto"/>
              <w:right w:val="single" w:sz="8" w:color="auto"/>
            </w:tcBorders>
          </w:tcPr>
          <w:p>
            <w:pPr>
              <w:ind w:left="140"/>
              <w:spacing w:after="0" w:line="146" w:lineRule="exact"/>
              <w:rPr>
                <w:sz w:val="20"/>
                <w:szCs w:val="20"/>
                <w:color w:val="auto"/>
              </w:rPr>
            </w:pPr>
            <w:r>
              <w:rPr>
                <w:rFonts w:ascii="Arial" w:cs="Arial" w:eastAsia="Arial" w:hAnsi="Arial"/>
                <w:sz w:val="13"/>
                <w:szCs w:val="13"/>
                <w:color w:val="auto"/>
              </w:rPr>
              <w:t>150% of base salary</w:t>
            </w:r>
          </w:p>
        </w:tc>
        <w:tc>
          <w:tcPr>
            <w:tcW w:w="4340" w:type="dxa"/>
            <w:vAlign w:val="bottom"/>
            <w:tcBorders>
              <w:bottom w:val="single" w:sz="8" w:color="auto"/>
            </w:tcBorders>
          </w:tcPr>
          <w:p>
            <w:pPr>
              <w:ind w:left="160"/>
              <w:spacing w:after="0" w:line="146" w:lineRule="exact"/>
              <w:rPr>
                <w:sz w:val="20"/>
                <w:szCs w:val="20"/>
                <w:color w:val="auto"/>
              </w:rPr>
            </w:pPr>
            <w:r>
              <w:rPr>
                <w:rFonts w:ascii="Arial" w:cs="Arial" w:eastAsia="Arial" w:hAnsi="Arial"/>
                <w:sz w:val="13"/>
                <w:szCs w:val="13"/>
                <w:color w:val="auto"/>
              </w:rPr>
              <w:t>310% of base salary</w:t>
            </w:r>
          </w:p>
        </w:tc>
      </w:tr>
      <w:tr>
        <w:trPr>
          <w:trHeight w:val="136"/>
        </w:trPr>
        <w:tc>
          <w:tcPr>
            <w:tcW w:w="23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Maurizio Nicolelli</w:t>
            </w:r>
          </w:p>
        </w:tc>
        <w:tc>
          <w:tcPr>
            <w:tcW w:w="4660" w:type="dxa"/>
            <w:vAlign w:val="bottom"/>
            <w:tcBorders>
              <w:bottom w:val="single" w:sz="8" w:color="auto"/>
              <w:right w:val="single" w:sz="8" w:color="auto"/>
            </w:tcBorders>
          </w:tcPr>
          <w:p>
            <w:pPr>
              <w:ind w:left="140"/>
              <w:spacing w:after="0" w:line="136" w:lineRule="exact"/>
              <w:rPr>
                <w:sz w:val="20"/>
                <w:szCs w:val="20"/>
                <w:color w:val="auto"/>
              </w:rPr>
            </w:pPr>
            <w:r>
              <w:rPr>
                <w:rFonts w:ascii="Arial" w:cs="Arial" w:eastAsia="Arial" w:hAnsi="Arial"/>
                <w:sz w:val="13"/>
                <w:szCs w:val="13"/>
                <w:color w:val="auto"/>
              </w:rPr>
              <w:t>75% of base salary</w:t>
            </w:r>
          </w:p>
        </w:tc>
        <w:tc>
          <w:tcPr>
            <w:tcW w:w="434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155% of base salary</w:t>
            </w:r>
          </w:p>
        </w:tc>
      </w:tr>
      <w:tr>
        <w:trPr>
          <w:trHeight w:val="136"/>
        </w:trPr>
        <w:tc>
          <w:tcPr>
            <w:tcW w:w="23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Pavan Bagai</w:t>
            </w:r>
          </w:p>
        </w:tc>
        <w:tc>
          <w:tcPr>
            <w:tcW w:w="4660" w:type="dxa"/>
            <w:vAlign w:val="bottom"/>
            <w:tcBorders>
              <w:bottom w:val="single" w:sz="8" w:color="auto"/>
              <w:right w:val="single" w:sz="8" w:color="auto"/>
            </w:tcBorders>
          </w:tcPr>
          <w:p>
            <w:pPr>
              <w:ind w:left="140"/>
              <w:spacing w:after="0" w:line="136" w:lineRule="exact"/>
              <w:rPr>
                <w:sz w:val="20"/>
                <w:szCs w:val="20"/>
                <w:color w:val="auto"/>
              </w:rPr>
            </w:pPr>
            <w:r>
              <w:rPr>
                <w:rFonts w:ascii="Arial" w:cs="Arial" w:eastAsia="Arial" w:hAnsi="Arial"/>
                <w:sz w:val="13"/>
                <w:szCs w:val="13"/>
                <w:color w:val="auto"/>
              </w:rPr>
              <w:t>75% of annual fixed compensation</w:t>
            </w:r>
          </w:p>
        </w:tc>
        <w:tc>
          <w:tcPr>
            <w:tcW w:w="434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155% of annual fixed compensation</w:t>
            </w:r>
          </w:p>
        </w:tc>
      </w:tr>
      <w:tr>
        <w:trPr>
          <w:trHeight w:val="136"/>
        </w:trPr>
        <w:tc>
          <w:tcPr>
            <w:tcW w:w="23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Nalin Miglani</w:t>
            </w:r>
          </w:p>
        </w:tc>
        <w:tc>
          <w:tcPr>
            <w:tcW w:w="4660" w:type="dxa"/>
            <w:vAlign w:val="bottom"/>
            <w:tcBorders>
              <w:bottom w:val="single" w:sz="8" w:color="auto"/>
              <w:right w:val="single" w:sz="8" w:color="auto"/>
            </w:tcBorders>
          </w:tcPr>
          <w:p>
            <w:pPr>
              <w:ind w:left="140"/>
              <w:spacing w:after="0" w:line="136" w:lineRule="exact"/>
              <w:rPr>
                <w:sz w:val="20"/>
                <w:szCs w:val="20"/>
                <w:color w:val="auto"/>
              </w:rPr>
            </w:pPr>
            <w:r>
              <w:rPr>
                <w:rFonts w:ascii="Arial" w:cs="Arial" w:eastAsia="Arial" w:hAnsi="Arial"/>
                <w:sz w:val="13"/>
                <w:szCs w:val="13"/>
                <w:color w:val="auto"/>
              </w:rPr>
              <w:t>75% of base salary</w:t>
            </w:r>
          </w:p>
        </w:tc>
        <w:tc>
          <w:tcPr>
            <w:tcW w:w="434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155% of base salary</w:t>
            </w:r>
          </w:p>
        </w:tc>
      </w:tr>
      <w:tr>
        <w:trPr>
          <w:trHeight w:val="136"/>
        </w:trPr>
        <w:tc>
          <w:tcPr>
            <w:tcW w:w="23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Vikas Bhalla</w:t>
            </w:r>
          </w:p>
        </w:tc>
        <w:tc>
          <w:tcPr>
            <w:tcW w:w="4660" w:type="dxa"/>
            <w:vAlign w:val="bottom"/>
            <w:tcBorders>
              <w:bottom w:val="single" w:sz="8" w:color="auto"/>
              <w:right w:val="single" w:sz="8" w:color="auto"/>
            </w:tcBorders>
          </w:tcPr>
          <w:p>
            <w:pPr>
              <w:ind w:left="140"/>
              <w:spacing w:after="0" w:line="136" w:lineRule="exact"/>
              <w:rPr>
                <w:sz w:val="20"/>
                <w:szCs w:val="20"/>
                <w:color w:val="auto"/>
              </w:rPr>
            </w:pPr>
            <w:r>
              <w:rPr>
                <w:rFonts w:ascii="Arial" w:cs="Arial" w:eastAsia="Arial" w:hAnsi="Arial"/>
                <w:sz w:val="13"/>
                <w:szCs w:val="13"/>
                <w:color w:val="auto"/>
              </w:rPr>
              <w:t>75% of annual fixed compensation</w:t>
            </w:r>
          </w:p>
        </w:tc>
        <w:tc>
          <w:tcPr>
            <w:tcW w:w="434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154% of annual fixed compensation</w:t>
            </w:r>
          </w:p>
        </w:tc>
      </w:tr>
      <w:tr>
        <w:trPr>
          <w:trHeight w:val="145"/>
        </w:trPr>
        <w:tc>
          <w:tcPr>
            <w:tcW w:w="230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Samuel Meckey</w:t>
            </w:r>
          </w:p>
        </w:tc>
        <w:tc>
          <w:tcPr>
            <w:tcW w:w="4660" w:type="dxa"/>
            <w:vAlign w:val="bottom"/>
            <w:tcBorders>
              <w:bottom w:val="single" w:sz="8" w:color="479EFF"/>
              <w:right w:val="single" w:sz="8" w:color="auto"/>
            </w:tcBorders>
          </w:tcPr>
          <w:p>
            <w:pPr>
              <w:ind w:left="140"/>
              <w:spacing w:after="0" w:line="136" w:lineRule="exact"/>
              <w:rPr>
                <w:sz w:val="20"/>
                <w:szCs w:val="20"/>
                <w:color w:val="auto"/>
              </w:rPr>
            </w:pPr>
            <w:r>
              <w:rPr>
                <w:rFonts w:ascii="Arial" w:cs="Arial" w:eastAsia="Arial" w:hAnsi="Arial"/>
                <w:sz w:val="13"/>
                <w:szCs w:val="13"/>
                <w:color w:val="auto"/>
              </w:rPr>
              <w:t>75% of base salary</w:t>
            </w:r>
          </w:p>
        </w:tc>
        <w:tc>
          <w:tcPr>
            <w:tcW w:w="4340" w:type="dxa"/>
            <w:vAlign w:val="bottom"/>
            <w:tcBorders>
              <w:bottom w:val="single" w:sz="8" w:color="479EFF"/>
            </w:tcBorders>
          </w:tcPr>
          <w:p>
            <w:pPr>
              <w:ind w:left="160"/>
              <w:spacing w:after="0" w:line="136" w:lineRule="exact"/>
              <w:rPr>
                <w:sz w:val="20"/>
                <w:szCs w:val="20"/>
                <w:color w:val="auto"/>
              </w:rPr>
            </w:pPr>
            <w:r>
              <w:rPr>
                <w:rFonts w:ascii="Arial" w:cs="Arial" w:eastAsia="Arial" w:hAnsi="Arial"/>
                <w:sz w:val="13"/>
                <w:szCs w:val="13"/>
                <w:color w:val="auto"/>
              </w:rPr>
              <w:t>154% of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197485</wp:posOffset>
            </wp:positionV>
            <wp:extent cx="1408430" cy="3333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6" w:name="page77"/>
    <w:bookmarkEnd w:id="76"/>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ind w:left="2" w:right="120"/>
        <w:spacing w:after="0" w:line="264" w:lineRule="auto"/>
        <w:rPr>
          <w:sz w:val="20"/>
          <w:szCs w:val="20"/>
          <w:color w:val="auto"/>
        </w:rPr>
      </w:pPr>
      <w:r>
        <w:rPr>
          <w:rFonts w:ascii="Arial" w:cs="Arial" w:eastAsia="Arial" w:hAnsi="Arial"/>
          <w:sz w:val="13"/>
          <w:szCs w:val="13"/>
          <w:b w:val="1"/>
          <w:bCs w:val="1"/>
          <w:color w:val="auto"/>
        </w:rPr>
        <w:t xml:space="preserve">Performance Measures. </w:t>
      </w:r>
      <w:r>
        <w:rPr>
          <w:rFonts w:ascii="Arial" w:cs="Arial" w:eastAsia="Arial" w:hAnsi="Arial"/>
          <w:sz w:val="13"/>
          <w:szCs w:val="13"/>
          <w:color w:val="auto"/>
        </w:rPr>
        <w:t>Our executives were eligible to earn annual bonuses based on their achievement of company-wide performance metrics, business line or other company performance metrics</w:t>
      </w:r>
      <w:r>
        <w:rPr>
          <w:rFonts w:ascii="Arial" w:cs="Arial" w:eastAsia="Arial" w:hAnsi="Arial"/>
          <w:sz w:val="13"/>
          <w:szCs w:val="13"/>
          <w:b w:val="1"/>
          <w:bCs w:val="1"/>
          <w:color w:val="auto"/>
        </w:rPr>
        <w:t xml:space="preserve"> </w:t>
      </w:r>
      <w:r>
        <w:rPr>
          <w:rFonts w:ascii="Arial" w:cs="Arial" w:eastAsia="Arial" w:hAnsi="Arial"/>
          <w:sz w:val="13"/>
          <w:szCs w:val="13"/>
          <w:color w:val="auto"/>
        </w:rPr>
        <w:t>and individual performance, as described in the tables below</w:t>
      </w:r>
    </w:p>
    <w:p>
      <w:pPr>
        <w:spacing w:after="0" w:line="124" w:lineRule="exact"/>
        <w:rPr>
          <w:sz w:val="20"/>
          <w:szCs w:val="20"/>
          <w:color w:val="auto"/>
        </w:rPr>
      </w:pPr>
    </w:p>
    <w:tbl>
      <w:tblPr>
        <w:tblLayout w:type="fixed"/>
        <w:tblInd w:w="2"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880" w:type="dxa"/>
            <w:vAlign w:val="bottom"/>
          </w:tcPr>
          <w:p>
            <w:pPr>
              <w:jc w:val="center"/>
              <w:ind w:right="80"/>
              <w:spacing w:after="0"/>
              <w:rPr>
                <w:sz w:val="20"/>
                <w:szCs w:val="20"/>
                <w:color w:val="auto"/>
              </w:rPr>
            </w:pPr>
            <w:r>
              <w:rPr>
                <w:rFonts w:ascii="Arial" w:cs="Arial" w:eastAsia="Arial" w:hAnsi="Arial"/>
                <w:sz w:val="10"/>
                <w:szCs w:val="10"/>
                <w:b w:val="1"/>
                <w:bCs w:val="1"/>
                <w:color w:val="479EFF"/>
              </w:rPr>
              <w:t>Company-Wide</w:t>
            </w:r>
          </w:p>
        </w:tc>
        <w:tc>
          <w:tcPr>
            <w:tcW w:w="1880" w:type="dxa"/>
            <w:vAlign w:val="bottom"/>
          </w:tcPr>
          <w:p>
            <w:pPr>
              <w:jc w:val="center"/>
              <w:ind w:right="80"/>
              <w:spacing w:after="0"/>
              <w:rPr>
                <w:sz w:val="20"/>
                <w:szCs w:val="20"/>
                <w:color w:val="auto"/>
              </w:rPr>
            </w:pPr>
            <w:r>
              <w:rPr>
                <w:rFonts w:ascii="Arial" w:cs="Arial" w:eastAsia="Arial" w:hAnsi="Arial"/>
                <w:sz w:val="10"/>
                <w:szCs w:val="10"/>
                <w:b w:val="1"/>
                <w:bCs w:val="1"/>
                <w:color w:val="479EFF"/>
              </w:rPr>
              <w:t>Individual</w:t>
            </w:r>
          </w:p>
        </w:tc>
        <w:tc>
          <w:tcPr>
            <w:tcW w:w="1640" w:type="dxa"/>
            <w:vAlign w:val="bottom"/>
          </w:tcPr>
          <w:p>
            <w:pPr>
              <w:jc w:val="center"/>
              <w:ind w:left="40"/>
              <w:spacing w:after="0"/>
              <w:rPr>
                <w:sz w:val="20"/>
                <w:szCs w:val="20"/>
                <w:color w:val="auto"/>
              </w:rPr>
            </w:pPr>
            <w:r>
              <w:rPr>
                <w:rFonts w:ascii="Arial" w:cs="Arial" w:eastAsia="Arial" w:hAnsi="Arial"/>
                <w:sz w:val="10"/>
                <w:szCs w:val="10"/>
                <w:b w:val="1"/>
                <w:bCs w:val="1"/>
                <w:color w:val="479EFF"/>
              </w:rPr>
              <w:t>Business Line or Other</w:t>
            </w:r>
          </w:p>
        </w:tc>
      </w:tr>
      <w:tr>
        <w:trPr>
          <w:trHeight w:val="145"/>
        </w:trPr>
        <w:tc>
          <w:tcPr>
            <w:tcW w:w="5900" w:type="dxa"/>
            <w:vAlign w:val="bottom"/>
            <w:tcBorders>
              <w:bottom w:val="single" w:sz="8" w:color="479EFF"/>
            </w:tcBorders>
          </w:tcPr>
          <w:p>
            <w:pPr>
              <w:spacing w:after="0"/>
              <w:rPr>
                <w:sz w:val="20"/>
                <w:szCs w:val="20"/>
                <w:color w:val="auto"/>
              </w:rPr>
            </w:pPr>
            <w:r>
              <w:rPr>
                <w:rFonts w:ascii="Arial" w:cs="Arial" w:eastAsia="Arial" w:hAnsi="Arial"/>
                <w:sz w:val="10"/>
                <w:szCs w:val="10"/>
                <w:b w:val="1"/>
                <w:bCs w:val="1"/>
                <w:color w:val="479EFF"/>
              </w:rPr>
              <w:t>Name</w:t>
            </w:r>
          </w:p>
        </w:tc>
        <w:tc>
          <w:tcPr>
            <w:tcW w:w="1880" w:type="dxa"/>
            <w:vAlign w:val="bottom"/>
            <w:tcBorders>
              <w:bottom w:val="single" w:sz="8" w:color="479EFF"/>
            </w:tcBorders>
          </w:tcPr>
          <w:p>
            <w:pPr>
              <w:jc w:val="center"/>
              <w:ind w:right="80"/>
              <w:spacing w:after="0" w:line="136" w:lineRule="exact"/>
              <w:rPr>
                <w:sz w:val="20"/>
                <w:szCs w:val="20"/>
                <w:color w:val="auto"/>
              </w:rPr>
            </w:pPr>
            <w:r>
              <w:rPr>
                <w:rFonts w:ascii="Arial" w:cs="Arial" w:eastAsia="Arial" w:hAnsi="Arial"/>
                <w:sz w:val="10"/>
                <w:szCs w:val="10"/>
                <w:b w:val="1"/>
                <w:bCs w:val="1"/>
                <w:color w:val="479EFF"/>
              </w:rPr>
              <w:t>Performance</w:t>
            </w:r>
            <w:r>
              <w:rPr>
                <w:rFonts w:ascii="Arial" w:cs="Arial" w:eastAsia="Arial" w:hAnsi="Arial"/>
                <w:sz w:val="15"/>
                <w:szCs w:val="15"/>
                <w:b w:val="1"/>
                <w:bCs w:val="1"/>
                <w:color w:val="479EFF"/>
                <w:vertAlign w:val="superscript"/>
              </w:rPr>
              <w:t>(1)</w:t>
            </w:r>
          </w:p>
        </w:tc>
        <w:tc>
          <w:tcPr>
            <w:tcW w:w="1880" w:type="dxa"/>
            <w:vAlign w:val="bottom"/>
            <w:tcBorders>
              <w:bottom w:val="single" w:sz="8" w:color="479EFF"/>
            </w:tcBorders>
          </w:tcPr>
          <w:p>
            <w:pPr>
              <w:jc w:val="center"/>
              <w:ind w:right="80"/>
              <w:spacing w:after="0"/>
              <w:rPr>
                <w:sz w:val="20"/>
                <w:szCs w:val="20"/>
                <w:color w:val="auto"/>
              </w:rPr>
            </w:pPr>
            <w:r>
              <w:rPr>
                <w:rFonts w:ascii="Arial" w:cs="Arial" w:eastAsia="Arial" w:hAnsi="Arial"/>
                <w:sz w:val="10"/>
                <w:szCs w:val="10"/>
                <w:b w:val="1"/>
                <w:bCs w:val="1"/>
                <w:color w:val="479EFF"/>
              </w:rPr>
              <w:t>Performance</w:t>
            </w:r>
          </w:p>
        </w:tc>
        <w:tc>
          <w:tcPr>
            <w:tcW w:w="1640" w:type="dxa"/>
            <w:vAlign w:val="bottom"/>
            <w:tcBorders>
              <w:bottom w:val="single" w:sz="8" w:color="479EFF"/>
            </w:tcBorders>
          </w:tcPr>
          <w:p>
            <w:pPr>
              <w:jc w:val="center"/>
              <w:ind w:left="40"/>
              <w:spacing w:after="0" w:line="136" w:lineRule="exact"/>
              <w:rPr>
                <w:sz w:val="20"/>
                <w:szCs w:val="20"/>
                <w:color w:val="auto"/>
              </w:rPr>
            </w:pPr>
            <w:r>
              <w:rPr>
                <w:rFonts w:ascii="Arial" w:cs="Arial" w:eastAsia="Arial" w:hAnsi="Arial"/>
                <w:sz w:val="10"/>
                <w:szCs w:val="10"/>
                <w:b w:val="1"/>
                <w:bCs w:val="1"/>
                <w:color w:val="479EFF"/>
              </w:rPr>
              <w:t>Company Performance</w:t>
            </w:r>
            <w:r>
              <w:rPr>
                <w:rFonts w:ascii="Arial" w:cs="Arial" w:eastAsia="Arial" w:hAnsi="Arial"/>
                <w:sz w:val="15"/>
                <w:szCs w:val="15"/>
                <w:b w:val="1"/>
                <w:bCs w:val="1"/>
                <w:color w:val="479EFF"/>
                <w:vertAlign w:val="superscript"/>
              </w:rPr>
              <w:t>(2)</w:t>
            </w:r>
          </w:p>
        </w:tc>
      </w:tr>
      <w:tr>
        <w:trPr>
          <w:trHeight w:val="146"/>
        </w:trPr>
        <w:tc>
          <w:tcPr>
            <w:tcW w:w="590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Rohit Kapoor</w:t>
            </w:r>
          </w:p>
        </w:tc>
        <w:tc>
          <w:tcPr>
            <w:tcW w:w="1880" w:type="dxa"/>
            <w:vAlign w:val="bottom"/>
            <w:tcBorders>
              <w:bottom w:val="single" w:sz="8" w:color="auto"/>
              <w:right w:val="single" w:sz="8" w:color="auto"/>
            </w:tcBorders>
          </w:tcPr>
          <w:p>
            <w:pPr>
              <w:jc w:val="center"/>
              <w:ind w:right="80"/>
              <w:spacing w:after="0" w:line="146" w:lineRule="exact"/>
              <w:rPr>
                <w:sz w:val="20"/>
                <w:szCs w:val="20"/>
                <w:color w:val="auto"/>
              </w:rPr>
            </w:pPr>
            <w:r>
              <w:rPr>
                <w:rFonts w:ascii="Arial" w:cs="Arial" w:eastAsia="Arial" w:hAnsi="Arial"/>
                <w:sz w:val="13"/>
                <w:szCs w:val="13"/>
                <w:color w:val="auto"/>
                <w:w w:val="99"/>
              </w:rPr>
              <w:t>65%</w:t>
            </w:r>
          </w:p>
        </w:tc>
        <w:tc>
          <w:tcPr>
            <w:tcW w:w="1880" w:type="dxa"/>
            <w:vAlign w:val="bottom"/>
            <w:tcBorders>
              <w:bottom w:val="single" w:sz="8" w:color="auto"/>
              <w:right w:val="single" w:sz="8" w:color="auto"/>
            </w:tcBorders>
          </w:tcPr>
          <w:p>
            <w:pPr>
              <w:jc w:val="center"/>
              <w:ind w:right="80"/>
              <w:spacing w:after="0" w:line="146" w:lineRule="exact"/>
              <w:rPr>
                <w:sz w:val="20"/>
                <w:szCs w:val="20"/>
                <w:color w:val="auto"/>
              </w:rPr>
            </w:pPr>
            <w:r>
              <w:rPr>
                <w:rFonts w:ascii="Arial" w:cs="Arial" w:eastAsia="Arial" w:hAnsi="Arial"/>
                <w:sz w:val="13"/>
                <w:szCs w:val="13"/>
                <w:color w:val="auto"/>
                <w:w w:val="99"/>
              </w:rPr>
              <w:t>15%</w:t>
            </w:r>
          </w:p>
        </w:tc>
        <w:tc>
          <w:tcPr>
            <w:tcW w:w="1640" w:type="dxa"/>
            <w:vAlign w:val="bottom"/>
            <w:tcBorders>
              <w:bottom w:val="single" w:sz="8" w:color="auto"/>
            </w:tcBorders>
          </w:tcPr>
          <w:p>
            <w:pPr>
              <w:jc w:val="center"/>
              <w:ind w:left="40"/>
              <w:spacing w:after="0" w:line="146" w:lineRule="exact"/>
              <w:rPr>
                <w:sz w:val="20"/>
                <w:szCs w:val="20"/>
                <w:color w:val="auto"/>
              </w:rPr>
            </w:pPr>
            <w:r>
              <w:rPr>
                <w:rFonts w:ascii="Arial" w:cs="Arial" w:eastAsia="Arial" w:hAnsi="Arial"/>
                <w:sz w:val="13"/>
                <w:szCs w:val="13"/>
                <w:color w:val="auto"/>
                <w:w w:val="99"/>
              </w:rPr>
              <w:t>20%</w:t>
            </w:r>
          </w:p>
        </w:tc>
      </w:tr>
      <w:tr>
        <w:trPr>
          <w:trHeight w:val="136"/>
        </w:trPr>
        <w:tc>
          <w:tcPr>
            <w:tcW w:w="59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Maurizio Nicolelli</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9"/>
              </w:rPr>
              <w:t>60%</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9"/>
              </w:rPr>
              <w:t>20%</w:t>
            </w:r>
          </w:p>
        </w:tc>
        <w:tc>
          <w:tcPr>
            <w:tcW w:w="1640" w:type="dxa"/>
            <w:vAlign w:val="bottom"/>
            <w:tcBorders>
              <w:bottom w:val="single" w:sz="8" w:color="auto"/>
            </w:tcBorders>
          </w:tcPr>
          <w:p>
            <w:pPr>
              <w:jc w:val="center"/>
              <w:ind w:left="40"/>
              <w:spacing w:after="0" w:line="136" w:lineRule="exact"/>
              <w:rPr>
                <w:sz w:val="20"/>
                <w:szCs w:val="20"/>
                <w:color w:val="auto"/>
              </w:rPr>
            </w:pPr>
            <w:r>
              <w:rPr>
                <w:rFonts w:ascii="Arial" w:cs="Arial" w:eastAsia="Arial" w:hAnsi="Arial"/>
                <w:sz w:val="13"/>
                <w:szCs w:val="13"/>
                <w:color w:val="auto"/>
                <w:w w:val="99"/>
              </w:rPr>
              <w:t>20%</w:t>
            </w:r>
          </w:p>
        </w:tc>
      </w:tr>
      <w:tr>
        <w:trPr>
          <w:trHeight w:val="136"/>
        </w:trPr>
        <w:tc>
          <w:tcPr>
            <w:tcW w:w="59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Pavan Bagai</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9"/>
              </w:rPr>
              <w:t>65%</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9"/>
              </w:rPr>
              <w:t>15%</w:t>
            </w:r>
          </w:p>
        </w:tc>
        <w:tc>
          <w:tcPr>
            <w:tcW w:w="1640" w:type="dxa"/>
            <w:vAlign w:val="bottom"/>
            <w:tcBorders>
              <w:bottom w:val="single" w:sz="8" w:color="auto"/>
            </w:tcBorders>
          </w:tcPr>
          <w:p>
            <w:pPr>
              <w:jc w:val="center"/>
              <w:ind w:left="40"/>
              <w:spacing w:after="0" w:line="136" w:lineRule="exact"/>
              <w:rPr>
                <w:sz w:val="20"/>
                <w:szCs w:val="20"/>
                <w:color w:val="auto"/>
              </w:rPr>
            </w:pPr>
            <w:r>
              <w:rPr>
                <w:rFonts w:ascii="Arial" w:cs="Arial" w:eastAsia="Arial" w:hAnsi="Arial"/>
                <w:sz w:val="13"/>
                <w:szCs w:val="13"/>
                <w:color w:val="auto"/>
                <w:w w:val="99"/>
              </w:rPr>
              <w:t>20%</w:t>
            </w:r>
          </w:p>
        </w:tc>
      </w:tr>
      <w:tr>
        <w:trPr>
          <w:trHeight w:val="136"/>
        </w:trPr>
        <w:tc>
          <w:tcPr>
            <w:tcW w:w="59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Nalin Miglani</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9"/>
              </w:rPr>
              <w:t>60%</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9"/>
              </w:rPr>
              <w:t>20%</w:t>
            </w:r>
          </w:p>
        </w:tc>
        <w:tc>
          <w:tcPr>
            <w:tcW w:w="1640" w:type="dxa"/>
            <w:vAlign w:val="bottom"/>
            <w:tcBorders>
              <w:bottom w:val="single" w:sz="8" w:color="auto"/>
            </w:tcBorders>
          </w:tcPr>
          <w:p>
            <w:pPr>
              <w:jc w:val="center"/>
              <w:ind w:left="40"/>
              <w:spacing w:after="0" w:line="136" w:lineRule="exact"/>
              <w:rPr>
                <w:sz w:val="20"/>
                <w:szCs w:val="20"/>
                <w:color w:val="auto"/>
              </w:rPr>
            </w:pPr>
            <w:r>
              <w:rPr>
                <w:rFonts w:ascii="Arial" w:cs="Arial" w:eastAsia="Arial" w:hAnsi="Arial"/>
                <w:sz w:val="13"/>
                <w:szCs w:val="13"/>
                <w:color w:val="auto"/>
                <w:w w:val="99"/>
              </w:rPr>
              <w:t>20%</w:t>
            </w:r>
          </w:p>
        </w:tc>
      </w:tr>
      <w:tr>
        <w:trPr>
          <w:trHeight w:val="136"/>
        </w:trPr>
        <w:tc>
          <w:tcPr>
            <w:tcW w:w="59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Vikas Bhalla</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9"/>
              </w:rPr>
              <w:t>50%</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9"/>
              </w:rPr>
              <w:t>20%</w:t>
            </w:r>
          </w:p>
        </w:tc>
        <w:tc>
          <w:tcPr>
            <w:tcW w:w="1640" w:type="dxa"/>
            <w:vAlign w:val="bottom"/>
            <w:tcBorders>
              <w:bottom w:val="single" w:sz="8" w:color="auto"/>
            </w:tcBorders>
          </w:tcPr>
          <w:p>
            <w:pPr>
              <w:jc w:val="center"/>
              <w:ind w:left="40"/>
              <w:spacing w:after="0" w:line="136" w:lineRule="exact"/>
              <w:rPr>
                <w:sz w:val="20"/>
                <w:szCs w:val="20"/>
                <w:color w:val="auto"/>
              </w:rPr>
            </w:pPr>
            <w:r>
              <w:rPr>
                <w:rFonts w:ascii="Arial" w:cs="Arial" w:eastAsia="Arial" w:hAnsi="Arial"/>
                <w:sz w:val="13"/>
                <w:szCs w:val="13"/>
                <w:color w:val="auto"/>
                <w:w w:val="99"/>
              </w:rPr>
              <w:t>30%</w:t>
            </w:r>
          </w:p>
        </w:tc>
      </w:tr>
      <w:tr>
        <w:trPr>
          <w:trHeight w:val="145"/>
        </w:trPr>
        <w:tc>
          <w:tcPr>
            <w:tcW w:w="590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Samuel Meckey</w:t>
            </w:r>
          </w:p>
        </w:tc>
        <w:tc>
          <w:tcPr>
            <w:tcW w:w="1880" w:type="dxa"/>
            <w:vAlign w:val="bottom"/>
            <w:tcBorders>
              <w:bottom w:val="single" w:sz="8" w:color="479EFF"/>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9"/>
              </w:rPr>
              <w:t>50%</w:t>
            </w:r>
          </w:p>
        </w:tc>
        <w:tc>
          <w:tcPr>
            <w:tcW w:w="1880" w:type="dxa"/>
            <w:vAlign w:val="bottom"/>
            <w:tcBorders>
              <w:bottom w:val="single" w:sz="8" w:color="479EFF"/>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9"/>
              </w:rPr>
              <w:t>20%</w:t>
            </w:r>
          </w:p>
        </w:tc>
        <w:tc>
          <w:tcPr>
            <w:tcW w:w="1640" w:type="dxa"/>
            <w:vAlign w:val="bottom"/>
            <w:tcBorders>
              <w:bottom w:val="single" w:sz="8" w:color="479EFF"/>
            </w:tcBorders>
          </w:tcPr>
          <w:p>
            <w:pPr>
              <w:jc w:val="center"/>
              <w:ind w:left="40"/>
              <w:spacing w:after="0" w:line="136" w:lineRule="exact"/>
              <w:rPr>
                <w:sz w:val="20"/>
                <w:szCs w:val="20"/>
                <w:color w:val="auto"/>
              </w:rPr>
            </w:pPr>
            <w:r>
              <w:rPr>
                <w:rFonts w:ascii="Arial" w:cs="Arial" w:eastAsia="Arial" w:hAnsi="Arial"/>
                <w:sz w:val="13"/>
                <w:szCs w:val="13"/>
                <w:color w:val="auto"/>
                <w:w w:val="99"/>
              </w:rPr>
              <w:t>30%</w:t>
            </w:r>
          </w:p>
        </w:tc>
      </w:tr>
    </w:tbl>
    <w:p>
      <w:pPr>
        <w:spacing w:after="0" w:line="159" w:lineRule="exact"/>
        <w:rPr>
          <w:sz w:val="20"/>
          <w:szCs w:val="20"/>
          <w:color w:val="auto"/>
        </w:rPr>
      </w:pPr>
    </w:p>
    <w:p>
      <w:pPr>
        <w:ind w:left="2" w:right="360" w:hanging="2"/>
        <w:spacing w:after="0" w:line="262" w:lineRule="auto"/>
        <w:tabs>
          <w:tab w:leader="none" w:pos="158" w:val="left"/>
        </w:tabs>
        <w:numPr>
          <w:ilvl w:val="0"/>
          <w:numId w:val="61"/>
        </w:numPr>
        <w:rPr>
          <w:rFonts w:ascii="Arial" w:cs="Arial" w:eastAsia="Arial" w:hAnsi="Arial"/>
          <w:sz w:val="10"/>
          <w:szCs w:val="10"/>
          <w:color w:val="auto"/>
        </w:rPr>
      </w:pPr>
      <w:r>
        <w:rPr>
          <w:rFonts w:ascii="Arial" w:cs="Arial" w:eastAsia="Arial" w:hAnsi="Arial"/>
          <w:sz w:val="10"/>
          <w:szCs w:val="10"/>
          <w:color w:val="auto"/>
        </w:rPr>
        <w:t>Based 30% on the Company's Adjusted EPS goal, 40% on the Company's revenue goal, and 30% on the Company's adjusted operating profit margin (AOPM) for all employees whose incentive bonus is linked to Company-wide financial performance, including our named executive officers.</w:t>
      </w:r>
    </w:p>
    <w:p>
      <w:pPr>
        <w:spacing w:after="0" w:line="137" w:lineRule="exact"/>
        <w:rPr>
          <w:rFonts w:ascii="Arial" w:cs="Arial" w:eastAsia="Arial" w:hAnsi="Arial"/>
          <w:sz w:val="10"/>
          <w:szCs w:val="10"/>
          <w:color w:val="auto"/>
        </w:rPr>
      </w:pPr>
    </w:p>
    <w:p>
      <w:pPr>
        <w:ind w:left="2" w:right="180" w:hanging="2"/>
        <w:spacing w:after="0" w:line="262" w:lineRule="auto"/>
        <w:tabs>
          <w:tab w:leader="none" w:pos="158" w:val="left"/>
        </w:tabs>
        <w:numPr>
          <w:ilvl w:val="0"/>
          <w:numId w:val="61"/>
        </w:numPr>
        <w:rPr>
          <w:rFonts w:ascii="Arial" w:cs="Arial" w:eastAsia="Arial" w:hAnsi="Arial"/>
          <w:sz w:val="10"/>
          <w:szCs w:val="10"/>
          <w:color w:val="auto"/>
        </w:rPr>
      </w:pPr>
      <w:r>
        <w:rPr>
          <w:rFonts w:ascii="Arial" w:cs="Arial" w:eastAsia="Arial" w:hAnsi="Arial"/>
          <w:sz w:val="10"/>
          <w:szCs w:val="10"/>
          <w:color w:val="auto"/>
        </w:rPr>
        <w:t>For Messrs. Kapoor, Bagai, Nicolelli and Miglani, based on aggregate Revenue, Adjusted EPS, and AOPM for specific business units. For Messrs. Bhalla and Meckey, based on aggregate revenue and business operating income for specific business units. Business operating income is a component for measuring business unit performance that is computed as the business unit's gross margin less direct operating expenses.</w:t>
      </w:r>
    </w:p>
    <w:p>
      <w:pPr>
        <w:spacing w:after="0" w:line="137" w:lineRule="exact"/>
        <w:rPr>
          <w:sz w:val="20"/>
          <w:szCs w:val="20"/>
          <w:color w:val="auto"/>
        </w:rPr>
      </w:pPr>
    </w:p>
    <w:p>
      <w:pPr>
        <w:ind w:left="2" w:right="260"/>
        <w:spacing w:after="0" w:line="236" w:lineRule="auto"/>
        <w:rPr>
          <w:sz w:val="20"/>
          <w:szCs w:val="20"/>
          <w:color w:val="auto"/>
        </w:rPr>
      </w:pPr>
      <w:r>
        <w:rPr>
          <w:rFonts w:ascii="Arial" w:cs="Arial" w:eastAsia="Arial" w:hAnsi="Arial"/>
          <w:sz w:val="13"/>
          <w:szCs w:val="13"/>
          <w:color w:val="auto"/>
        </w:rPr>
        <w:t>In 2020, the Compensation Committee continued to set the business line and other Company performance goals as well as the individual performance goals described above for all named executive officers to ensure the executives were properly focused on both the Company's Adjusted EPS, revenue, and AOPM goals, aggregate of business units' performance on revenue and other areas of performance that are unique to their positions within the organization. The Compensation Committee believes achievement of these performance metrics will drive our business and, in turn, lead to increased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1408430" cy="3333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2"/>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241300</wp:posOffset>
            </wp:positionV>
            <wp:extent cx="7177405" cy="19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2"/>
          </w:cols>
          <w:pgMar w:left="298" w:top="142" w:right="299" w:bottom="1440" w:gutter="0" w:footer="0" w:header="0"/>
        </w:sectPr>
      </w:pPr>
    </w:p>
    <w:bookmarkStart w:id="77" w:name="page78"/>
    <w:bookmarkEnd w:id="77"/>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Determination of Financial Performance Achievement:</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For 2020, our Compensation Committee established an Adjusted EPS target of $3.65 (18.12% higher than our actual Adjusted EPS for the prior year and 14.96% higher than the prior year's target</w:t>
      </w:r>
    </w:p>
    <w:p>
      <w:pPr>
        <w:spacing w:after="0" w:line="234" w:lineRule="auto"/>
        <w:rPr>
          <w:sz w:val="20"/>
          <w:szCs w:val="20"/>
          <w:color w:val="auto"/>
        </w:rPr>
      </w:pPr>
      <w:r>
        <w:rPr>
          <w:rFonts w:ascii="Arial" w:cs="Arial" w:eastAsia="Arial" w:hAnsi="Arial"/>
          <w:sz w:val="13"/>
          <w:szCs w:val="13"/>
          <w:color w:val="auto"/>
        </w:rPr>
        <w:t>performance), a revenue target of $1.075 billion (8.44% higher than our actual revenue for the prior year and 8.70% higher than the prior year's target performance), and an AOPM target of</w:t>
      </w:r>
    </w:p>
    <w:p>
      <w:pPr>
        <w:spacing w:after="0"/>
        <w:rPr>
          <w:sz w:val="20"/>
          <w:szCs w:val="20"/>
          <w:color w:val="auto"/>
        </w:rPr>
      </w:pPr>
      <w:r>
        <w:rPr>
          <w:rFonts w:ascii="Arial" w:cs="Arial" w:eastAsia="Arial" w:hAnsi="Arial"/>
          <w:sz w:val="12"/>
          <w:szCs w:val="12"/>
          <w:color w:val="auto"/>
        </w:rPr>
        <w:t>$165.40 million or 15.4%. 2020 was the first year that the AOPM metric was used. As shown below, the portion of incentive bonus payments that were subject to these financial performance measures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could have ranged from zero to 210% of target depending on the achievement of the performance goals: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Performance Targets: Adjusted EPS ($3.65); Revenue ($1.075 billion); and AOPM ($165.40 million)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20" w:type="dxa"/>
            <w:vAlign w:val="bottom"/>
            <w:tcBorders>
              <w:top w:val="single" w:sz="8" w:color="479EFF"/>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 of Performance Achieved Compared to Target Goal</w:t>
            </w:r>
          </w:p>
        </w:tc>
        <w:tc>
          <w:tcPr>
            <w:tcW w:w="5580" w:type="dxa"/>
            <w:vAlign w:val="bottom"/>
            <w:tcBorders>
              <w:top w:val="single" w:sz="8" w:color="479EFF"/>
              <w:bottom w:val="single" w:sz="8" w:color="auto"/>
            </w:tcBorders>
          </w:tcPr>
          <w:p>
            <w:pPr>
              <w:ind w:left="160"/>
              <w:spacing w:after="0"/>
              <w:rPr>
                <w:sz w:val="20"/>
                <w:szCs w:val="20"/>
                <w:color w:val="auto"/>
              </w:rPr>
            </w:pPr>
            <w:r>
              <w:rPr>
                <w:rFonts w:ascii="Arial" w:cs="Arial" w:eastAsia="Arial" w:hAnsi="Arial"/>
                <w:sz w:val="13"/>
                <w:szCs w:val="13"/>
                <w:b w:val="1"/>
                <w:bCs w:val="1"/>
                <w:color w:val="auto"/>
              </w:rPr>
              <w:t>% of Target Portion Funded</w:t>
            </w:r>
          </w:p>
        </w:tc>
      </w:tr>
      <w:tr>
        <w:trPr>
          <w:trHeight w:val="136"/>
        </w:trPr>
        <w:tc>
          <w:tcPr>
            <w:tcW w:w="572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Less than 90%</w:t>
            </w:r>
          </w:p>
        </w:tc>
        <w:tc>
          <w:tcPr>
            <w:tcW w:w="558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0%</w:t>
            </w:r>
          </w:p>
        </w:tc>
      </w:tr>
      <w:tr>
        <w:trPr>
          <w:trHeight w:val="136"/>
        </w:trPr>
        <w:tc>
          <w:tcPr>
            <w:tcW w:w="572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At 90%</w:t>
            </w:r>
          </w:p>
        </w:tc>
        <w:tc>
          <w:tcPr>
            <w:tcW w:w="558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10%</w:t>
            </w:r>
          </w:p>
        </w:tc>
      </w:tr>
      <w:tr>
        <w:trPr>
          <w:trHeight w:val="136"/>
        </w:trPr>
        <w:tc>
          <w:tcPr>
            <w:tcW w:w="572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90% to 100%</w:t>
            </w:r>
          </w:p>
        </w:tc>
        <w:tc>
          <w:tcPr>
            <w:tcW w:w="558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Linear interpolation from 10% to 100%</w:t>
            </w:r>
          </w:p>
        </w:tc>
      </w:tr>
      <w:tr>
        <w:trPr>
          <w:trHeight w:val="136"/>
        </w:trPr>
        <w:tc>
          <w:tcPr>
            <w:tcW w:w="572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At 100%</w:t>
            </w:r>
          </w:p>
        </w:tc>
        <w:tc>
          <w:tcPr>
            <w:tcW w:w="558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100%</w:t>
            </w:r>
          </w:p>
        </w:tc>
      </w:tr>
      <w:tr>
        <w:trPr>
          <w:trHeight w:val="136"/>
        </w:trPr>
        <w:tc>
          <w:tcPr>
            <w:tcW w:w="572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100% to 105%</w:t>
            </w:r>
          </w:p>
        </w:tc>
        <w:tc>
          <w:tcPr>
            <w:tcW w:w="558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Linear interpolation from 100% to 160%</w:t>
            </w:r>
          </w:p>
        </w:tc>
      </w:tr>
      <w:tr>
        <w:trPr>
          <w:trHeight w:val="136"/>
        </w:trPr>
        <w:tc>
          <w:tcPr>
            <w:tcW w:w="572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105% to 110%</w:t>
            </w:r>
          </w:p>
        </w:tc>
        <w:tc>
          <w:tcPr>
            <w:tcW w:w="558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Linear interpolation from 160% to 210%</w:t>
            </w:r>
          </w:p>
        </w:tc>
      </w:tr>
      <w:tr>
        <w:trPr>
          <w:trHeight w:val="145"/>
        </w:trPr>
        <w:tc>
          <w:tcPr>
            <w:tcW w:w="572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color w:val="auto"/>
              </w:rPr>
              <w:t>Above 110%</w:t>
            </w:r>
          </w:p>
        </w:tc>
        <w:tc>
          <w:tcPr>
            <w:tcW w:w="5580" w:type="dxa"/>
            <w:vAlign w:val="bottom"/>
            <w:tcBorders>
              <w:bottom w:val="single" w:sz="8" w:color="479EFF"/>
            </w:tcBorders>
          </w:tcPr>
          <w:p>
            <w:pPr>
              <w:ind w:left="160"/>
              <w:spacing w:after="0" w:line="136" w:lineRule="exact"/>
              <w:rPr>
                <w:sz w:val="20"/>
                <w:szCs w:val="20"/>
                <w:color w:val="auto"/>
              </w:rPr>
            </w:pPr>
            <w:r>
              <w:rPr>
                <w:rFonts w:ascii="Arial" w:cs="Arial" w:eastAsia="Arial" w:hAnsi="Arial"/>
                <w:sz w:val="13"/>
                <w:szCs w:val="13"/>
                <w:color w:val="auto"/>
              </w:rPr>
              <w:t>210%</w:t>
            </w:r>
          </w:p>
        </w:tc>
      </w:tr>
    </w:tbl>
    <w:p>
      <w:pPr>
        <w:spacing w:after="0" w:line="158" w:lineRule="exact"/>
        <w:rPr>
          <w:sz w:val="20"/>
          <w:szCs w:val="20"/>
          <w:color w:val="auto"/>
        </w:rPr>
      </w:pPr>
    </w:p>
    <w:p>
      <w:pPr>
        <w:jc w:val="both"/>
        <w:ind w:right="220"/>
        <w:spacing w:after="0" w:line="237" w:lineRule="auto"/>
        <w:rPr>
          <w:sz w:val="20"/>
          <w:szCs w:val="20"/>
          <w:color w:val="auto"/>
        </w:rPr>
      </w:pPr>
      <w:r>
        <w:rPr>
          <w:rFonts w:ascii="Arial" w:cs="Arial" w:eastAsia="Arial" w:hAnsi="Arial"/>
          <w:sz w:val="13"/>
          <w:szCs w:val="13"/>
          <w:color w:val="auto"/>
        </w:rPr>
        <w:t>Based on our performance during the 2020 fiscal year, we achieved 99.20% of our Adjusted EPS target (resulting in funding of 92.80%), 89.32% of our revenue target (resulting in funding of 0%), and 95.26% of our AOPM target (resulting in funding of 57.37%) for a weighted funding of 45.1%. Notwithstanding these funding percentages, as described below, the Compensation Committee awarded incentive bonus payments in light of our executives' individual and collective extraordinary contributions during the unique circumstances of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bonus pool funding for employees whose bonuses are tied to the performance of specific business lines is determined by targets established for such businesses by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201295</wp:posOffset>
            </wp:positionV>
            <wp:extent cx="1408430" cy="3333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8" w:name="page79"/>
    <w:bookmarkEnd w:id="7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Determination of Individual Performance Measure Achievement:</w:t>
      </w:r>
    </w:p>
    <w:p>
      <w:pPr>
        <w:spacing w:after="0" w:line="168"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Our named executive officers earn a portion of their respective annual incentive bonuses based on the achievement of individual performance measures that are designed to balance the attention of the officer between the achievement of near-term objectives that improve specific processes or performance metrics and long-term objectives for us. For more information on the process, roles and responsibilities for determining individual performance measure achievement, please see "Compensation Process: Roles and Responsibilities" on page 70. Below is a summary of each named executive officer's individual performance measures, and a summary of the achievements and accomplishments toward meeting those performance measures: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700" w:type="dxa"/>
            <w:vAlign w:val="bottom"/>
            <w:tcBorders>
              <w:bottom w:val="single" w:sz="8" w:color="479EFF"/>
            </w:tcBorders>
            <w:gridSpan w:val="2"/>
          </w:tcPr>
          <w:p>
            <w:pPr>
              <w:spacing w:after="0"/>
              <w:rPr>
                <w:sz w:val="20"/>
                <w:szCs w:val="20"/>
                <w:color w:val="auto"/>
              </w:rPr>
            </w:pPr>
            <w:r>
              <w:rPr>
                <w:rFonts w:ascii="Arial" w:cs="Arial" w:eastAsia="Arial" w:hAnsi="Arial"/>
                <w:sz w:val="10"/>
                <w:szCs w:val="10"/>
                <w:b w:val="1"/>
                <w:bCs w:val="1"/>
                <w:color w:val="479EFF"/>
              </w:rPr>
              <w:t>Named Executive Officer</w:t>
            </w:r>
          </w:p>
        </w:tc>
        <w:tc>
          <w:tcPr>
            <w:tcW w:w="160" w:type="dxa"/>
            <w:vAlign w:val="bottom"/>
            <w:tcBorders>
              <w:bottom w:val="single" w:sz="8" w:color="479EFF"/>
            </w:tcBorders>
          </w:tcPr>
          <w:p>
            <w:pPr>
              <w:spacing w:after="0"/>
              <w:rPr>
                <w:sz w:val="11"/>
                <w:szCs w:val="11"/>
                <w:color w:val="auto"/>
              </w:rPr>
            </w:pPr>
          </w:p>
        </w:tc>
        <w:tc>
          <w:tcPr>
            <w:tcW w:w="2740" w:type="dxa"/>
            <w:vAlign w:val="bottom"/>
            <w:tcBorders>
              <w:bottom w:val="single" w:sz="8" w:color="479EFF"/>
            </w:tcBorders>
          </w:tcPr>
          <w:p>
            <w:pPr>
              <w:ind w:left="420"/>
              <w:spacing w:after="0"/>
              <w:rPr>
                <w:sz w:val="20"/>
                <w:szCs w:val="20"/>
                <w:color w:val="auto"/>
              </w:rPr>
            </w:pPr>
            <w:r>
              <w:rPr>
                <w:rFonts w:ascii="Arial" w:cs="Arial" w:eastAsia="Arial" w:hAnsi="Arial"/>
                <w:sz w:val="10"/>
                <w:szCs w:val="10"/>
                <w:b w:val="1"/>
                <w:bCs w:val="1"/>
                <w:color w:val="479EFF"/>
              </w:rPr>
              <w:t>Individual Performance Measure</w:t>
            </w:r>
          </w:p>
        </w:tc>
        <w:tc>
          <w:tcPr>
            <w:tcW w:w="180" w:type="dxa"/>
            <w:vAlign w:val="bottom"/>
            <w:tcBorders>
              <w:bottom w:val="single" w:sz="8" w:color="479EFF"/>
            </w:tcBorders>
          </w:tcPr>
          <w:p>
            <w:pPr>
              <w:spacing w:after="0"/>
              <w:rPr>
                <w:sz w:val="11"/>
                <w:szCs w:val="11"/>
                <w:color w:val="auto"/>
              </w:rPr>
            </w:pPr>
          </w:p>
        </w:tc>
        <w:tc>
          <w:tcPr>
            <w:tcW w:w="6520" w:type="dxa"/>
            <w:vAlign w:val="bottom"/>
            <w:tcBorders>
              <w:bottom w:val="single" w:sz="8" w:color="479EFF"/>
            </w:tcBorders>
          </w:tcPr>
          <w:p>
            <w:pPr>
              <w:ind w:left="2320"/>
              <w:spacing w:after="0"/>
              <w:rPr>
                <w:sz w:val="20"/>
                <w:szCs w:val="20"/>
                <w:color w:val="auto"/>
              </w:rPr>
            </w:pPr>
            <w:r>
              <w:rPr>
                <w:rFonts w:ascii="Arial" w:cs="Arial" w:eastAsia="Arial" w:hAnsi="Arial"/>
                <w:sz w:val="10"/>
                <w:szCs w:val="10"/>
                <w:b w:val="1"/>
                <w:bCs w:val="1"/>
                <w:color w:val="479EFF"/>
              </w:rPr>
              <w:t>Individual Performance Achievement</w:t>
            </w:r>
          </w:p>
        </w:tc>
        <w:tc>
          <w:tcPr>
            <w:tcW w:w="0" w:type="dxa"/>
            <w:vAlign w:val="bottom"/>
          </w:tcPr>
          <w:p>
            <w:pPr>
              <w:spacing w:after="0"/>
              <w:rPr>
                <w:sz w:val="1"/>
                <w:szCs w:val="1"/>
                <w:color w:val="auto"/>
              </w:rPr>
            </w:pPr>
          </w:p>
        </w:tc>
      </w:tr>
      <w:tr>
        <w:trPr>
          <w:trHeight w:val="136"/>
        </w:trPr>
        <w:tc>
          <w:tcPr>
            <w:tcW w:w="1700" w:type="dxa"/>
            <w:vAlign w:val="bottom"/>
            <w:tcBorders>
              <w:right w:val="single" w:sz="8" w:color="auto"/>
            </w:tcBorders>
            <w:gridSpan w:val="2"/>
          </w:tcPr>
          <w:p>
            <w:pPr>
              <w:spacing w:after="0"/>
              <w:rPr>
                <w:sz w:val="20"/>
                <w:szCs w:val="20"/>
                <w:color w:val="auto"/>
              </w:rPr>
            </w:pPr>
            <w:r>
              <w:rPr>
                <w:rFonts w:ascii="Arial" w:cs="Arial" w:eastAsia="Arial" w:hAnsi="Arial"/>
                <w:sz w:val="10"/>
                <w:szCs w:val="10"/>
                <w:b w:val="1"/>
                <w:bCs w:val="1"/>
                <w:color w:val="auto"/>
              </w:rPr>
              <w:t>Rohit Kapoor</w:t>
            </w: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Drive profitable growth agenda</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Led organization to achieve solid financial results despite a very challenging global environment due to the COVID-19 pandemic</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Build digital strategy and organization</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Acceleration of digital efforts</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Improve return on invested capital</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Excellent focus on ROIC and active pursuit of investment opportunities</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Strengthen succession planning</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Strong progress on development of executive team</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Enhance ESG focus</w:t>
            </w:r>
          </w:p>
        </w:tc>
        <w:tc>
          <w:tcPr>
            <w:tcW w:w="18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Substantial improvement in ESG focus and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Maurizio Nicolelli</w:t>
            </w: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Improve reporting processes</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Led finance team through tumultuous year with frequent changes to operating plan due to the COVID-19 pandemic</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Improve return on capital</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Significantly enhanced our stock buy back program to effectively deploy capital</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Develop long-term M&amp;A stratgey</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Drove the focus on clearly articulating strategic priorities for M&amp;A assets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Drive profitable growth agenda</w:t>
            </w:r>
          </w:p>
        </w:tc>
        <w:tc>
          <w:tcPr>
            <w:tcW w:w="180" w:type="dxa"/>
            <w:vAlign w:val="bottom"/>
            <w:tcBorders>
              <w:bottom w:val="single" w:sz="8" w:color="auto"/>
            </w:tcBorders>
          </w:tcPr>
          <w:p>
            <w:pPr>
              <w:spacing w:after="0"/>
              <w:rPr>
                <w:sz w:val="21"/>
                <w:szCs w:val="21"/>
                <w:color w:val="auto"/>
              </w:rPr>
            </w:pPr>
          </w:p>
        </w:tc>
        <w:tc>
          <w:tcPr>
            <w:tcW w:w="6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Pavan Bagai</w:t>
            </w: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Drive revenue growth and increase profitability</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Drove cost reductions in technology, facilities, and logistics and improved productivity</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Build digital strategy and organization</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Led business recovery and stabilization during COVID-19 pandemic</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Continue focus on risk and compliance culture</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Developed digital strategy</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Effectively managed information security and related processes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Nalin Miglani</w:t>
            </w: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Focus on company culture</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Strong pivot and leadership to address COVID-19 challenges, including remote working and employee safety</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Expand and drive digitial HR transformation</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Increased self-learning by employees through digital tools</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Drive effective recruitment of key employees</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Enabled digital hiring, onboarding and training and increased social media visibility</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c>
          <w:tcPr>
            <w:tcW w:w="67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color w:val="FF4000"/>
              </w:rPr>
              <w:t xml:space="preserve">• </w:t>
            </w:r>
            <w:r>
              <w:rPr>
                <w:rFonts w:ascii="Arial" w:cs="Arial" w:eastAsia="Arial" w:hAnsi="Arial"/>
                <w:sz w:val="10"/>
                <w:szCs w:val="10"/>
                <w:color w:val="000000"/>
              </w:rPr>
              <w:t>Significantly increased communication with employees on digital platforms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Vikas Bhalla</w:t>
            </w: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Raise insurance business profitability</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Strong momentum and significant growth in life and annuities business including development of innovative solutions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Create and implement innovative data and analytics</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Led the design and formulation of a new enterprise operating model to provide greater resiliency and flexibility in the face of the COVID-19</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solutions</w:t>
            </w:r>
          </w:p>
        </w:tc>
        <w:tc>
          <w:tcPr>
            <w:tcW w:w="180" w:type="dxa"/>
            <w:vAlign w:val="bottom"/>
          </w:tcPr>
          <w:p>
            <w:pPr>
              <w:spacing w:after="0"/>
              <w:rPr>
                <w:sz w:val="10"/>
                <w:szCs w:val="10"/>
                <w:color w:val="auto"/>
              </w:rPr>
            </w:pPr>
          </w:p>
        </w:tc>
        <w:tc>
          <w:tcPr>
            <w:tcW w:w="6520" w:type="dxa"/>
            <w:vAlign w:val="bottom"/>
          </w:tcPr>
          <w:p>
            <w:pPr>
              <w:ind w:left="40"/>
              <w:spacing w:after="0"/>
              <w:rPr>
                <w:sz w:val="20"/>
                <w:szCs w:val="20"/>
                <w:color w:val="auto"/>
              </w:rPr>
            </w:pPr>
            <w:r>
              <w:rPr>
                <w:rFonts w:ascii="Arial" w:cs="Arial" w:eastAsia="Arial" w:hAnsi="Arial"/>
                <w:sz w:val="10"/>
                <w:szCs w:val="10"/>
                <w:color w:val="auto"/>
              </w:rPr>
              <w:t>pandemic and beyond</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Improve return on invested capital through higher</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Improved profitability and return on invested capital for insurance business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740" w:type="dxa"/>
            <w:vAlign w:val="bottom"/>
            <w:tcBorders>
              <w:bottom w:val="single" w:sz="8" w:color="auto"/>
              <w:right w:val="single" w:sz="8" w:color="auto"/>
            </w:tcBorders>
          </w:tcPr>
          <w:p>
            <w:pPr>
              <w:ind w:left="40"/>
              <w:spacing w:after="0" w:line="114" w:lineRule="exact"/>
              <w:rPr>
                <w:sz w:val="20"/>
                <w:szCs w:val="20"/>
                <w:color w:val="auto"/>
              </w:rPr>
            </w:pPr>
            <w:r>
              <w:rPr>
                <w:rFonts w:ascii="Arial" w:cs="Arial" w:eastAsia="Arial" w:hAnsi="Arial"/>
                <w:sz w:val="10"/>
                <w:szCs w:val="10"/>
                <w:color w:val="auto"/>
              </w:rPr>
              <w:t>productivity</w:t>
            </w:r>
          </w:p>
        </w:tc>
        <w:tc>
          <w:tcPr>
            <w:tcW w:w="180" w:type="dxa"/>
            <w:vAlign w:val="bottom"/>
            <w:tcBorders>
              <w:bottom w:val="single" w:sz="8" w:color="auto"/>
            </w:tcBorders>
          </w:tcPr>
          <w:p>
            <w:pPr>
              <w:spacing w:after="0"/>
              <w:rPr>
                <w:sz w:val="9"/>
                <w:szCs w:val="9"/>
                <w:color w:val="auto"/>
              </w:rPr>
            </w:pPr>
          </w:p>
        </w:tc>
        <w:tc>
          <w:tcPr>
            <w:tcW w:w="6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b w:val="1"/>
                <w:bCs w:val="1"/>
                <w:color w:val="auto"/>
              </w:rPr>
              <w:t>Samuel Meckey</w:t>
            </w:r>
          </w:p>
        </w:tc>
        <w:tc>
          <w:tcPr>
            <w:tcW w:w="160" w:type="dxa"/>
            <w:vAlign w:val="bottom"/>
          </w:tcPr>
          <w:p>
            <w:pPr>
              <w:ind w:left="100"/>
              <w:spacing w:after="0" w:line="101" w:lineRule="exact"/>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10"/>
                <w:szCs w:val="10"/>
                <w:color w:val="auto"/>
              </w:rPr>
              <w:t>Develop strong sales pipeline and grow strategic</w:t>
            </w:r>
          </w:p>
        </w:tc>
        <w:tc>
          <w:tcPr>
            <w:tcW w:w="180" w:type="dxa"/>
            <w:vAlign w:val="bottom"/>
          </w:tcPr>
          <w:p>
            <w:pPr>
              <w:ind w:left="120"/>
              <w:spacing w:after="0" w:line="101" w:lineRule="exact"/>
              <w:rPr>
                <w:sz w:val="20"/>
                <w:szCs w:val="20"/>
                <w:color w:val="auto"/>
              </w:rPr>
            </w:pPr>
            <w:r>
              <w:rPr>
                <w:rFonts w:ascii="Arial" w:cs="Arial" w:eastAsia="Arial" w:hAnsi="Arial"/>
                <w:sz w:val="10"/>
                <w:szCs w:val="10"/>
                <w:color w:val="FF4000"/>
              </w:rPr>
              <w:t>•</w:t>
            </w:r>
          </w:p>
        </w:tc>
        <w:tc>
          <w:tcPr>
            <w:tcW w:w="6520" w:type="dxa"/>
            <w:vAlign w:val="bottom"/>
          </w:tcPr>
          <w:p>
            <w:pPr>
              <w:ind w:left="40"/>
              <w:spacing w:after="0" w:line="101" w:lineRule="exact"/>
              <w:rPr>
                <w:sz w:val="20"/>
                <w:szCs w:val="20"/>
                <w:color w:val="auto"/>
              </w:rPr>
            </w:pPr>
            <w:r>
              <w:rPr>
                <w:rFonts w:ascii="Arial" w:cs="Arial" w:eastAsia="Arial" w:hAnsi="Arial"/>
                <w:sz w:val="10"/>
                <w:szCs w:val="10"/>
                <w:color w:val="auto"/>
              </w:rPr>
              <w:t>Notwithstanding the material affects of the COVID-19 pandemic, grew healthcare significantly over a one-year period with impressive pipeline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accounts</w:t>
            </w:r>
          </w:p>
        </w:tc>
        <w:tc>
          <w:tcPr>
            <w:tcW w:w="180" w:type="dxa"/>
            <w:vAlign w:val="bottom"/>
          </w:tcPr>
          <w:p>
            <w:pPr>
              <w:spacing w:after="0"/>
              <w:rPr>
                <w:sz w:val="10"/>
                <w:szCs w:val="10"/>
                <w:color w:val="auto"/>
              </w:rPr>
            </w:pPr>
          </w:p>
        </w:tc>
        <w:tc>
          <w:tcPr>
            <w:tcW w:w="6520" w:type="dxa"/>
            <w:vAlign w:val="bottom"/>
          </w:tcPr>
          <w:p>
            <w:pPr>
              <w:ind w:left="40"/>
              <w:spacing w:after="0"/>
              <w:rPr>
                <w:sz w:val="20"/>
                <w:szCs w:val="20"/>
                <w:color w:val="auto"/>
              </w:rPr>
            </w:pPr>
            <w:r>
              <w:rPr>
                <w:rFonts w:ascii="Arial" w:cs="Arial" w:eastAsia="Arial" w:hAnsi="Arial"/>
                <w:sz w:val="10"/>
                <w:szCs w:val="10"/>
                <w:color w:val="auto"/>
              </w:rPr>
              <w:t>growth</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FF4000"/>
              </w:rPr>
              <w:t>•</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Improve return on invested capital for healthcare</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Improved margin profile of healthcare business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0"/>
                <w:szCs w:val="10"/>
                <w:color w:val="auto"/>
              </w:rPr>
              <w:t>business</w:t>
            </w:r>
          </w:p>
        </w:tc>
        <w:tc>
          <w:tcPr>
            <w:tcW w:w="18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29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0"/>
                <w:szCs w:val="10"/>
                <w:color w:val="FF4000"/>
              </w:rPr>
              <w:t xml:space="preserve">• </w:t>
            </w:r>
            <w:r>
              <w:rPr>
                <w:rFonts w:ascii="Arial" w:cs="Arial" w:eastAsia="Arial" w:hAnsi="Arial"/>
                <w:sz w:val="10"/>
                <w:szCs w:val="10"/>
                <w:color w:val="000000"/>
              </w:rPr>
              <w:t>Drive tighter integration of healthcare into EXL</w:t>
            </w:r>
          </w:p>
        </w:tc>
        <w:tc>
          <w:tcPr>
            <w:tcW w:w="180" w:type="dxa"/>
            <w:vAlign w:val="bottom"/>
          </w:tcPr>
          <w:p>
            <w:pPr>
              <w:ind w:left="120"/>
              <w:spacing w:after="0"/>
              <w:rPr>
                <w:sz w:val="20"/>
                <w:szCs w:val="20"/>
                <w:color w:val="auto"/>
              </w:rPr>
            </w:pPr>
            <w:r>
              <w:rPr>
                <w:rFonts w:ascii="Arial" w:cs="Arial" w:eastAsia="Arial" w:hAnsi="Arial"/>
                <w:sz w:val="10"/>
                <w:szCs w:val="10"/>
                <w:color w:val="FF4000"/>
              </w:rPr>
              <w:t>•</w:t>
            </w:r>
          </w:p>
        </w:tc>
        <w:tc>
          <w:tcPr>
            <w:tcW w:w="6520" w:type="dxa"/>
            <w:vAlign w:val="bottom"/>
          </w:tcPr>
          <w:p>
            <w:pPr>
              <w:ind w:left="40"/>
              <w:spacing w:after="0"/>
              <w:rPr>
                <w:sz w:val="20"/>
                <w:szCs w:val="20"/>
                <w:color w:val="auto"/>
              </w:rPr>
            </w:pPr>
            <w:r>
              <w:rPr>
                <w:rFonts w:ascii="Arial" w:cs="Arial" w:eastAsia="Arial" w:hAnsi="Arial"/>
                <w:sz w:val="10"/>
                <w:szCs w:val="10"/>
                <w:color w:val="auto"/>
              </w:rPr>
              <w:t>Successfully developed and launched the EXL Health Brand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680" w:type="dxa"/>
            <w:vAlign w:val="bottom"/>
            <w:tcBorders>
              <w:bottom w:val="single" w:sz="8" w:color="479EFF"/>
              <w:right w:val="single" w:sz="8" w:color="auto"/>
            </w:tcBorders>
          </w:tcPr>
          <w:p>
            <w:pPr>
              <w:spacing w:after="0"/>
              <w:rPr>
                <w:sz w:val="9"/>
                <w:szCs w:val="9"/>
                <w:color w:val="auto"/>
              </w:rPr>
            </w:pPr>
          </w:p>
        </w:tc>
        <w:tc>
          <w:tcPr>
            <w:tcW w:w="2900" w:type="dxa"/>
            <w:vAlign w:val="bottom"/>
            <w:tcBorders>
              <w:bottom w:val="single" w:sz="8" w:color="479EFF"/>
              <w:right w:val="single" w:sz="8" w:color="auto"/>
            </w:tcBorders>
            <w:gridSpan w:val="2"/>
            <w:vMerge w:val="continue"/>
          </w:tcPr>
          <w:p>
            <w:pPr>
              <w:spacing w:after="0"/>
              <w:rPr>
                <w:sz w:val="9"/>
                <w:szCs w:val="9"/>
                <w:color w:val="auto"/>
              </w:rPr>
            </w:pPr>
          </w:p>
        </w:tc>
        <w:tc>
          <w:tcPr>
            <w:tcW w:w="180" w:type="dxa"/>
            <w:vAlign w:val="bottom"/>
            <w:tcBorders>
              <w:bottom w:val="single" w:sz="8" w:color="479EFF"/>
            </w:tcBorders>
          </w:tcPr>
          <w:p>
            <w:pPr>
              <w:spacing w:after="0"/>
              <w:rPr>
                <w:sz w:val="9"/>
                <w:szCs w:val="9"/>
                <w:color w:val="auto"/>
              </w:rPr>
            </w:pPr>
          </w:p>
        </w:tc>
        <w:tc>
          <w:tcPr>
            <w:tcW w:w="6520" w:type="dxa"/>
            <w:vAlign w:val="bottom"/>
            <w:tcBorders>
              <w:bottom w:val="single" w:sz="8" w:color="479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1408430" cy="3333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79" w:name="page80"/>
    <w:bookmarkEnd w:id="7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Actual Bonus Payments:</w:t>
      </w:r>
    </w:p>
    <w:p>
      <w:pPr>
        <w:spacing w:after="0" w:line="168" w:lineRule="exact"/>
        <w:rPr>
          <w:sz w:val="20"/>
          <w:szCs w:val="20"/>
          <w:color w:val="auto"/>
        </w:rPr>
      </w:pPr>
    </w:p>
    <w:p>
      <w:pPr>
        <w:ind w:left="780" w:right="100" w:hanging="393"/>
        <w:spacing w:after="0" w:line="235" w:lineRule="auto"/>
        <w:tabs>
          <w:tab w:leader="none" w:pos="780" w:val="left"/>
        </w:tabs>
        <w:numPr>
          <w:ilvl w:val="0"/>
          <w:numId w:val="62"/>
        </w:numPr>
        <w:rPr>
          <w:rFonts w:ascii="Arial" w:cs="Arial" w:eastAsia="Arial" w:hAnsi="Arial"/>
          <w:sz w:val="13"/>
          <w:szCs w:val="13"/>
          <w:color w:val="FF4000"/>
        </w:rPr>
      </w:pPr>
      <w:r>
        <w:rPr>
          <w:rFonts w:ascii="Arial" w:cs="Arial" w:eastAsia="Arial" w:hAnsi="Arial"/>
          <w:sz w:val="13"/>
          <w:szCs w:val="13"/>
          <w:color w:val="auto"/>
        </w:rPr>
        <w:t>Throughout and following the conclusion of the 2020 fiscal year, our Compensation Committee reviewed our 2020 annual incentive bonus program metrics and performance in light of the unanticipated impact of the COVID-19 pandemic. Our Compensation Committee discussed how pre-pandemic performance metrics do not accurately reflect the pay-for-performance compensation approach because of the specific challenges that were encountered during the pandemic. Specifically, our Compensation Committee noted: the tremendous logistical efforts and costs associated with the transition from secure office environments to allow for remote access, addressing the contractual and regulatory restrictions on performing such work remotely, the effort and time spent ensuring the health and safety of our global workforce, and responding to reductions in client budgets on current work and business development strategies.</w:t>
      </w:r>
    </w:p>
    <w:p>
      <w:pPr>
        <w:spacing w:after="0" w:line="152" w:lineRule="exact"/>
        <w:rPr>
          <w:rFonts w:ascii="Arial" w:cs="Arial" w:eastAsia="Arial" w:hAnsi="Arial"/>
          <w:sz w:val="13"/>
          <w:szCs w:val="13"/>
          <w:color w:val="FF4000"/>
        </w:rPr>
      </w:pPr>
    </w:p>
    <w:p>
      <w:pPr>
        <w:ind w:left="780" w:right="120" w:hanging="393"/>
        <w:spacing w:after="0" w:line="236" w:lineRule="auto"/>
        <w:tabs>
          <w:tab w:leader="none" w:pos="780" w:val="left"/>
        </w:tabs>
        <w:numPr>
          <w:ilvl w:val="0"/>
          <w:numId w:val="62"/>
        </w:numPr>
        <w:rPr>
          <w:rFonts w:ascii="Arial" w:cs="Arial" w:eastAsia="Arial" w:hAnsi="Arial"/>
          <w:sz w:val="13"/>
          <w:szCs w:val="13"/>
          <w:color w:val="FF4000"/>
        </w:rPr>
      </w:pPr>
      <w:r>
        <w:rPr>
          <w:rFonts w:ascii="Arial" w:cs="Arial" w:eastAsia="Arial" w:hAnsi="Arial"/>
          <w:sz w:val="13"/>
          <w:szCs w:val="13"/>
          <w:color w:val="auto"/>
        </w:rPr>
        <w:t>Our Compensation Committee also considered calculation adjustments, contemplated under our 2018 Plan to account for extraordinary, unusual or nonrecurring items, had been made to account for identifiable COVID-19 effects. For example, the Compensation Committee considered how the annual bonus payouts would be affected if the direct revenue impact of COVID-19 was accounted for (e.g., known loss of revenue related to the pandemic arising from travel clients, clients that prohibited remote working arrangements, and clients that could not be serviced during the transition to remote working arrangements). Notably, the funding in this scenario was in excess of both the unadjusted formulaic payout as well as the payout finally agreed by the Compensation Committee. Please see the table below for further details.</w:t>
      </w:r>
    </w:p>
    <w:p>
      <w:pPr>
        <w:spacing w:after="0" w:line="140" w:lineRule="exact"/>
        <w:rPr>
          <w:rFonts w:ascii="Arial" w:cs="Arial" w:eastAsia="Arial" w:hAnsi="Arial"/>
          <w:sz w:val="13"/>
          <w:szCs w:val="13"/>
          <w:color w:val="FF4000"/>
        </w:rPr>
      </w:pPr>
    </w:p>
    <w:p>
      <w:pPr>
        <w:ind w:left="780" w:right="200" w:hanging="393"/>
        <w:spacing w:after="0" w:line="235" w:lineRule="auto"/>
        <w:tabs>
          <w:tab w:leader="none" w:pos="780" w:val="left"/>
        </w:tabs>
        <w:numPr>
          <w:ilvl w:val="0"/>
          <w:numId w:val="62"/>
        </w:numPr>
        <w:rPr>
          <w:rFonts w:ascii="Arial" w:cs="Arial" w:eastAsia="Arial" w:hAnsi="Arial"/>
          <w:sz w:val="13"/>
          <w:szCs w:val="13"/>
          <w:color w:val="FF4000"/>
        </w:rPr>
      </w:pPr>
      <w:r>
        <w:rPr>
          <w:rFonts w:ascii="Arial" w:cs="Arial" w:eastAsia="Arial" w:hAnsi="Arial"/>
          <w:sz w:val="13"/>
          <w:szCs w:val="13"/>
          <w:color w:val="auto"/>
        </w:rPr>
        <w:t>The Compensation Committee, after thoughtful consideration, determined not to adjust the performance metrics; however, to recognize the extraordinary efforts of our teams during the 2020 fiscal year and after consideration of the alternative funding scenarios discussed above, our Compensation Committee, after consultation with FW Cook, (1) decided to pay out all named executive officer annual incentive bonuses at 75% of target based on such officer's base salary as in effect prior to the COVID-related salary reductions, and (2) agreed with management's proposal to pay, with certain performance related exceptions, at 75% of target for all employee annual incentive bonuses. The Compensation Committee believes a 75% payout to all named executive officers appropriately balances the goals of rewarding named executive officers for their extraordinary collaborative and collective efforts to meet, address and overcome the challenges of the COVID-19 pandemic and contributions to the Company's performance with the financial and accounting for the business impacts on the Company of the COVID-19 pandemic.</w:t>
      </w:r>
    </w:p>
    <w:p>
      <w:pPr>
        <w:spacing w:after="0" w:line="142" w:lineRule="exact"/>
        <w:rPr>
          <w:rFonts w:ascii="Arial" w:cs="Arial" w:eastAsia="Arial" w:hAnsi="Arial"/>
          <w:sz w:val="13"/>
          <w:szCs w:val="13"/>
          <w:color w:val="FF4000"/>
        </w:rPr>
      </w:pPr>
    </w:p>
    <w:p>
      <w:pPr>
        <w:ind w:left="780" w:right="140" w:hanging="393"/>
        <w:spacing w:after="0" w:line="237" w:lineRule="auto"/>
        <w:tabs>
          <w:tab w:leader="none" w:pos="780" w:val="left"/>
        </w:tabs>
        <w:numPr>
          <w:ilvl w:val="0"/>
          <w:numId w:val="62"/>
        </w:numPr>
        <w:rPr>
          <w:rFonts w:ascii="Arial" w:cs="Arial" w:eastAsia="Arial" w:hAnsi="Arial"/>
          <w:sz w:val="13"/>
          <w:szCs w:val="13"/>
          <w:color w:val="FF4000"/>
        </w:rPr>
      </w:pPr>
      <w:r>
        <w:rPr>
          <w:rFonts w:ascii="Arial" w:cs="Arial" w:eastAsia="Arial" w:hAnsi="Arial"/>
          <w:sz w:val="13"/>
          <w:szCs w:val="13"/>
          <w:color w:val="auto"/>
        </w:rPr>
        <w:t>A comparison of this 75% payout to both the formulaic payout result without any adjustments, as well as the alternative COVID-19-related adjustment scenario is included in the table below. Our Compensation Committee believes this approach and the resulting payouts are appropriate based on the actual Company, business unit, and individual performance achieved despite the additional challenges and financial and operational impact resulting from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193040</wp:posOffset>
            </wp:positionV>
            <wp:extent cx="1408430" cy="3333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80" w:name="page81"/>
    <w:bookmarkEnd w:id="8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168" w:lineRule="exact"/>
        <w:rPr>
          <w:sz w:val="20"/>
          <w:szCs w:val="20"/>
          <w:color w:val="auto"/>
        </w:rPr>
      </w:pPr>
    </w:p>
    <w:p>
      <w:pPr>
        <w:ind w:left="780" w:right="20" w:hanging="393"/>
        <w:spacing w:after="0" w:line="239" w:lineRule="auto"/>
        <w:tabs>
          <w:tab w:leader="none" w:pos="780" w:val="left"/>
        </w:tabs>
        <w:numPr>
          <w:ilvl w:val="0"/>
          <w:numId w:val="63"/>
        </w:numPr>
        <w:rPr>
          <w:rFonts w:ascii="Arial" w:cs="Arial" w:eastAsia="Arial" w:hAnsi="Arial"/>
          <w:sz w:val="13"/>
          <w:szCs w:val="13"/>
          <w:color w:val="FF4000"/>
        </w:rPr>
      </w:pPr>
      <w:r>
        <w:rPr>
          <w:rFonts w:ascii="Arial" w:cs="Arial" w:eastAsia="Arial" w:hAnsi="Arial"/>
          <w:sz w:val="13"/>
          <w:szCs w:val="13"/>
          <w:color w:val="auto"/>
        </w:rPr>
        <w:t>The table below sets out the 2020 incentive bonuses for our named executive officers (paid in March 2021), as well as the incentive bonuses that would have been paid without adjustment, and the incentive bonuses that would have been paid but for the identifiable COVID-19 effects under the alternative scenario described above.</w:t>
      </w:r>
    </w:p>
    <w:p>
      <w:pPr>
        <w:spacing w:after="0" w:line="139" w:lineRule="exact"/>
        <w:rPr>
          <w:sz w:val="20"/>
          <w:szCs w:val="20"/>
          <w:color w:val="auto"/>
        </w:rPr>
      </w:pPr>
    </w:p>
    <w:tbl>
      <w:tblPr>
        <w:tblLayout w:type="fixed"/>
        <w:tblInd w:w="1520" w:type="dxa"/>
        <w:tblCellMar>
          <w:top w:w="0" w:type="dxa"/>
          <w:left w:w="0" w:type="dxa"/>
          <w:bottom w:w="0" w:type="dxa"/>
          <w:right w:w="0" w:type="dxa"/>
        </w:tblCellMar>
      </w:tblPr>
      <w:tr>
        <w:trPr>
          <w:trHeight w:val="117"/>
        </w:trPr>
        <w:tc>
          <w:tcPr>
            <w:tcW w:w="33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620" w:type="dxa"/>
            <w:vAlign w:val="bottom"/>
          </w:tcPr>
          <w:p>
            <w:pPr>
              <w:jc w:val="center"/>
              <w:ind w:left="41"/>
              <w:spacing w:after="0"/>
              <w:rPr>
                <w:sz w:val="20"/>
                <w:szCs w:val="20"/>
                <w:color w:val="auto"/>
              </w:rPr>
            </w:pPr>
            <w:r>
              <w:rPr>
                <w:rFonts w:ascii="Arial" w:cs="Arial" w:eastAsia="Arial" w:hAnsi="Arial"/>
                <w:sz w:val="10"/>
                <w:szCs w:val="10"/>
                <w:b w:val="1"/>
                <w:bCs w:val="1"/>
                <w:color w:val="479EFF"/>
              </w:rPr>
              <w:t>Alternative Scenario Incentive</w:t>
            </w:r>
          </w:p>
        </w:tc>
      </w:tr>
      <w:tr>
        <w:trPr>
          <w:trHeight w:val="117"/>
        </w:trPr>
        <w:tc>
          <w:tcPr>
            <w:tcW w:w="3360" w:type="dxa"/>
            <w:vAlign w:val="bottom"/>
          </w:tcPr>
          <w:p>
            <w:pPr>
              <w:spacing w:after="0"/>
              <w:rPr>
                <w:sz w:val="10"/>
                <w:szCs w:val="10"/>
                <w:color w:val="auto"/>
              </w:rPr>
            </w:pPr>
          </w:p>
        </w:tc>
        <w:tc>
          <w:tcPr>
            <w:tcW w:w="1880" w:type="dxa"/>
            <w:vAlign w:val="bottom"/>
          </w:tcPr>
          <w:p>
            <w:pPr>
              <w:jc w:val="center"/>
              <w:ind w:right="80"/>
              <w:spacing w:after="0"/>
              <w:rPr>
                <w:sz w:val="20"/>
                <w:szCs w:val="20"/>
                <w:color w:val="auto"/>
              </w:rPr>
            </w:pPr>
            <w:r>
              <w:rPr>
                <w:rFonts w:ascii="Arial" w:cs="Arial" w:eastAsia="Arial" w:hAnsi="Arial"/>
                <w:sz w:val="10"/>
                <w:szCs w:val="10"/>
                <w:b w:val="1"/>
                <w:bCs w:val="1"/>
                <w:color w:val="479EFF"/>
              </w:rPr>
              <w:t>Actual Incentive Bonus</w:t>
            </w:r>
          </w:p>
        </w:tc>
        <w:tc>
          <w:tcPr>
            <w:tcW w:w="1880" w:type="dxa"/>
            <w:vAlign w:val="bottom"/>
          </w:tcPr>
          <w:p>
            <w:pPr>
              <w:jc w:val="center"/>
              <w:ind w:right="80"/>
              <w:spacing w:after="0"/>
              <w:rPr>
                <w:sz w:val="20"/>
                <w:szCs w:val="20"/>
                <w:color w:val="auto"/>
              </w:rPr>
            </w:pPr>
            <w:r>
              <w:rPr>
                <w:rFonts w:ascii="Arial" w:cs="Arial" w:eastAsia="Arial" w:hAnsi="Arial"/>
                <w:sz w:val="10"/>
                <w:szCs w:val="10"/>
                <w:b w:val="1"/>
                <w:bCs w:val="1"/>
                <w:color w:val="479EFF"/>
              </w:rPr>
              <w:t>Incentive Bonus Without</w:t>
            </w:r>
          </w:p>
        </w:tc>
        <w:tc>
          <w:tcPr>
            <w:tcW w:w="1620" w:type="dxa"/>
            <w:vAlign w:val="bottom"/>
          </w:tcPr>
          <w:p>
            <w:pPr>
              <w:jc w:val="center"/>
              <w:ind w:left="61"/>
              <w:spacing w:after="0"/>
              <w:rPr>
                <w:sz w:val="20"/>
                <w:szCs w:val="20"/>
                <w:color w:val="auto"/>
              </w:rPr>
            </w:pPr>
            <w:r>
              <w:rPr>
                <w:rFonts w:ascii="Arial" w:cs="Arial" w:eastAsia="Arial" w:hAnsi="Arial"/>
                <w:sz w:val="10"/>
                <w:szCs w:val="10"/>
                <w:b w:val="1"/>
                <w:bCs w:val="1"/>
                <w:color w:val="479EFF"/>
              </w:rPr>
              <w:t>Bonus Without</w:t>
            </w:r>
          </w:p>
        </w:tc>
      </w:tr>
      <w:tr>
        <w:trPr>
          <w:trHeight w:val="154"/>
        </w:trPr>
        <w:tc>
          <w:tcPr>
            <w:tcW w:w="3360" w:type="dxa"/>
            <w:vAlign w:val="bottom"/>
            <w:tcBorders>
              <w:bottom w:val="single" w:sz="8" w:color="479EFF"/>
            </w:tcBorders>
          </w:tcPr>
          <w:p>
            <w:pPr>
              <w:spacing w:after="0"/>
              <w:rPr>
                <w:sz w:val="20"/>
                <w:szCs w:val="20"/>
                <w:color w:val="auto"/>
              </w:rPr>
            </w:pPr>
            <w:r>
              <w:rPr>
                <w:rFonts w:ascii="Arial" w:cs="Arial" w:eastAsia="Arial" w:hAnsi="Arial"/>
                <w:sz w:val="10"/>
                <w:szCs w:val="10"/>
                <w:b w:val="1"/>
                <w:bCs w:val="1"/>
                <w:color w:val="479EFF"/>
              </w:rPr>
              <w:t>Name</w:t>
            </w:r>
          </w:p>
        </w:tc>
        <w:tc>
          <w:tcPr>
            <w:tcW w:w="1880" w:type="dxa"/>
            <w:vAlign w:val="bottom"/>
            <w:tcBorders>
              <w:bottom w:val="single" w:sz="8" w:color="479EFF"/>
            </w:tcBorders>
          </w:tcPr>
          <w:p>
            <w:pPr>
              <w:jc w:val="center"/>
              <w:ind w:right="80"/>
              <w:spacing w:after="0"/>
              <w:rPr>
                <w:sz w:val="20"/>
                <w:szCs w:val="20"/>
                <w:color w:val="auto"/>
              </w:rPr>
            </w:pPr>
            <w:r>
              <w:rPr>
                <w:rFonts w:ascii="Arial" w:cs="Arial" w:eastAsia="Arial" w:hAnsi="Arial"/>
                <w:sz w:val="10"/>
                <w:szCs w:val="10"/>
                <w:b w:val="1"/>
                <w:bCs w:val="1"/>
                <w:color w:val="479EFF"/>
              </w:rPr>
              <w:t>Awarded ($)</w:t>
            </w:r>
            <w:r>
              <w:rPr>
                <w:rFonts w:ascii="Arial" w:cs="Arial" w:eastAsia="Arial" w:hAnsi="Arial"/>
                <w:sz w:val="7"/>
                <w:szCs w:val="7"/>
                <w:b w:val="1"/>
                <w:bCs w:val="1"/>
                <w:color w:val="479EFF"/>
              </w:rPr>
              <w:t>(1)</w:t>
            </w:r>
          </w:p>
        </w:tc>
        <w:tc>
          <w:tcPr>
            <w:tcW w:w="1880" w:type="dxa"/>
            <w:vAlign w:val="bottom"/>
            <w:tcBorders>
              <w:bottom w:val="single" w:sz="8" w:color="479EFF"/>
            </w:tcBorders>
          </w:tcPr>
          <w:p>
            <w:pPr>
              <w:jc w:val="center"/>
              <w:ind w:right="80"/>
              <w:spacing w:after="0"/>
              <w:rPr>
                <w:sz w:val="20"/>
                <w:szCs w:val="20"/>
                <w:color w:val="auto"/>
              </w:rPr>
            </w:pPr>
            <w:r>
              <w:rPr>
                <w:rFonts w:ascii="Arial" w:cs="Arial" w:eastAsia="Arial" w:hAnsi="Arial"/>
                <w:sz w:val="10"/>
                <w:szCs w:val="10"/>
                <w:b w:val="1"/>
                <w:bCs w:val="1"/>
                <w:color w:val="479EFF"/>
              </w:rPr>
              <w:t>Adjustment ($)</w:t>
            </w:r>
            <w:r>
              <w:rPr>
                <w:rFonts w:ascii="Arial" w:cs="Arial" w:eastAsia="Arial" w:hAnsi="Arial"/>
                <w:sz w:val="7"/>
                <w:szCs w:val="7"/>
                <w:b w:val="1"/>
                <w:bCs w:val="1"/>
                <w:color w:val="479EFF"/>
              </w:rPr>
              <w:t>(1)</w:t>
            </w:r>
          </w:p>
        </w:tc>
        <w:tc>
          <w:tcPr>
            <w:tcW w:w="1620" w:type="dxa"/>
            <w:vAlign w:val="bottom"/>
            <w:tcBorders>
              <w:bottom w:val="single" w:sz="8" w:color="479EFF"/>
            </w:tcBorders>
          </w:tcPr>
          <w:p>
            <w:pPr>
              <w:jc w:val="center"/>
              <w:ind w:left="41"/>
              <w:spacing w:after="0"/>
              <w:rPr>
                <w:sz w:val="20"/>
                <w:szCs w:val="20"/>
                <w:color w:val="auto"/>
              </w:rPr>
            </w:pPr>
            <w:r>
              <w:rPr>
                <w:rFonts w:ascii="Arial" w:cs="Arial" w:eastAsia="Arial" w:hAnsi="Arial"/>
                <w:sz w:val="10"/>
                <w:szCs w:val="10"/>
                <w:b w:val="1"/>
                <w:bCs w:val="1"/>
                <w:color w:val="479EFF"/>
              </w:rPr>
              <w:t>COVID-19 Effects ($)</w:t>
            </w:r>
            <w:r>
              <w:rPr>
                <w:rFonts w:ascii="Arial" w:cs="Arial" w:eastAsia="Arial" w:hAnsi="Arial"/>
                <w:sz w:val="7"/>
                <w:szCs w:val="7"/>
                <w:b w:val="1"/>
                <w:bCs w:val="1"/>
                <w:color w:val="479EFF"/>
              </w:rPr>
              <w:t>(1)(2)</w:t>
            </w:r>
          </w:p>
        </w:tc>
      </w:tr>
      <w:tr>
        <w:trPr>
          <w:trHeight w:val="146"/>
        </w:trPr>
        <w:tc>
          <w:tcPr>
            <w:tcW w:w="336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Rohit Kapoor</w:t>
            </w:r>
          </w:p>
        </w:tc>
        <w:tc>
          <w:tcPr>
            <w:tcW w:w="1880" w:type="dxa"/>
            <w:vAlign w:val="bottom"/>
            <w:tcBorders>
              <w:bottom w:val="single" w:sz="8" w:color="auto"/>
              <w:right w:val="single" w:sz="8" w:color="auto"/>
            </w:tcBorders>
          </w:tcPr>
          <w:p>
            <w:pPr>
              <w:jc w:val="center"/>
              <w:ind w:right="80"/>
              <w:spacing w:after="0" w:line="146" w:lineRule="exact"/>
              <w:rPr>
                <w:sz w:val="20"/>
                <w:szCs w:val="20"/>
                <w:color w:val="auto"/>
              </w:rPr>
            </w:pPr>
            <w:r>
              <w:rPr>
                <w:rFonts w:ascii="Arial" w:cs="Arial" w:eastAsia="Arial" w:hAnsi="Arial"/>
                <w:sz w:val="13"/>
                <w:szCs w:val="13"/>
                <w:color w:val="auto"/>
                <w:w w:val="97"/>
              </w:rPr>
              <w:t>810,000</w:t>
            </w:r>
          </w:p>
        </w:tc>
        <w:tc>
          <w:tcPr>
            <w:tcW w:w="1880" w:type="dxa"/>
            <w:vAlign w:val="bottom"/>
            <w:tcBorders>
              <w:bottom w:val="single" w:sz="8" w:color="auto"/>
              <w:right w:val="single" w:sz="8" w:color="auto"/>
            </w:tcBorders>
          </w:tcPr>
          <w:p>
            <w:pPr>
              <w:jc w:val="center"/>
              <w:ind w:right="80"/>
              <w:spacing w:after="0" w:line="146" w:lineRule="exact"/>
              <w:rPr>
                <w:sz w:val="20"/>
                <w:szCs w:val="20"/>
                <w:color w:val="auto"/>
              </w:rPr>
            </w:pPr>
            <w:r>
              <w:rPr>
                <w:rFonts w:ascii="Arial" w:cs="Arial" w:eastAsia="Arial" w:hAnsi="Arial"/>
                <w:sz w:val="13"/>
                <w:szCs w:val="13"/>
                <w:color w:val="auto"/>
                <w:w w:val="97"/>
              </w:rPr>
              <w:t>610,318</w:t>
            </w:r>
          </w:p>
        </w:tc>
        <w:tc>
          <w:tcPr>
            <w:tcW w:w="1620" w:type="dxa"/>
            <w:vAlign w:val="bottom"/>
            <w:tcBorders>
              <w:bottom w:val="single" w:sz="8" w:color="auto"/>
            </w:tcBorders>
          </w:tcPr>
          <w:p>
            <w:pPr>
              <w:jc w:val="center"/>
              <w:ind w:left="61"/>
              <w:spacing w:after="0" w:line="146" w:lineRule="exact"/>
              <w:rPr>
                <w:sz w:val="20"/>
                <w:szCs w:val="20"/>
                <w:color w:val="auto"/>
              </w:rPr>
            </w:pPr>
            <w:r>
              <w:rPr>
                <w:rFonts w:ascii="Arial" w:cs="Arial" w:eastAsia="Arial" w:hAnsi="Arial"/>
                <w:sz w:val="13"/>
                <w:szCs w:val="13"/>
                <w:color w:val="auto"/>
                <w:w w:val="97"/>
              </w:rPr>
              <w:t>927,456</w:t>
            </w:r>
          </w:p>
        </w:tc>
      </w:tr>
      <w:tr>
        <w:trPr>
          <w:trHeight w:val="136"/>
        </w:trPr>
        <w:tc>
          <w:tcPr>
            <w:tcW w:w="33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Maurizio Nicolelli</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7"/>
              </w:rPr>
              <w:t>243,097</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7"/>
              </w:rPr>
              <w:t>187,212</w:t>
            </w:r>
          </w:p>
        </w:tc>
        <w:tc>
          <w:tcPr>
            <w:tcW w:w="1620" w:type="dxa"/>
            <w:vAlign w:val="bottom"/>
            <w:tcBorders>
              <w:bottom w:val="single" w:sz="8" w:color="auto"/>
            </w:tcBorders>
          </w:tcPr>
          <w:p>
            <w:pPr>
              <w:jc w:val="center"/>
              <w:ind w:left="61"/>
              <w:spacing w:after="0" w:line="136" w:lineRule="exact"/>
              <w:rPr>
                <w:sz w:val="20"/>
                <w:szCs w:val="20"/>
                <w:color w:val="auto"/>
              </w:rPr>
            </w:pPr>
            <w:r>
              <w:rPr>
                <w:rFonts w:ascii="Arial" w:cs="Arial" w:eastAsia="Arial" w:hAnsi="Arial"/>
                <w:sz w:val="13"/>
                <w:szCs w:val="13"/>
                <w:color w:val="auto"/>
                <w:w w:val="97"/>
              </w:rPr>
              <w:t>276,678</w:t>
            </w:r>
          </w:p>
        </w:tc>
      </w:tr>
      <w:tr>
        <w:trPr>
          <w:trHeight w:val="136"/>
        </w:trPr>
        <w:tc>
          <w:tcPr>
            <w:tcW w:w="33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Pavan Bagai</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7"/>
              </w:rPr>
              <w:t>200,164</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7"/>
              </w:rPr>
              <w:t>162,830</w:t>
            </w:r>
          </w:p>
        </w:tc>
        <w:tc>
          <w:tcPr>
            <w:tcW w:w="1620" w:type="dxa"/>
            <w:vAlign w:val="bottom"/>
            <w:tcBorders>
              <w:bottom w:val="single" w:sz="8" w:color="auto"/>
            </w:tcBorders>
          </w:tcPr>
          <w:p>
            <w:pPr>
              <w:jc w:val="center"/>
              <w:ind w:left="61"/>
              <w:spacing w:after="0" w:line="136" w:lineRule="exact"/>
              <w:rPr>
                <w:sz w:val="20"/>
                <w:szCs w:val="20"/>
                <w:color w:val="auto"/>
              </w:rPr>
            </w:pPr>
            <w:r>
              <w:rPr>
                <w:rFonts w:ascii="Arial" w:cs="Arial" w:eastAsia="Arial" w:hAnsi="Arial"/>
                <w:sz w:val="13"/>
                <w:szCs w:val="13"/>
                <w:color w:val="auto"/>
                <w:w w:val="97"/>
              </w:rPr>
              <w:t>241,200</w:t>
            </w:r>
          </w:p>
        </w:tc>
      </w:tr>
      <w:tr>
        <w:trPr>
          <w:trHeight w:val="136"/>
        </w:trPr>
        <w:tc>
          <w:tcPr>
            <w:tcW w:w="33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Nalin Miglani</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7"/>
              </w:rPr>
              <w:t>253,125</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7"/>
              </w:rPr>
              <w:t>205,059</w:t>
            </w:r>
          </w:p>
        </w:tc>
        <w:tc>
          <w:tcPr>
            <w:tcW w:w="1620" w:type="dxa"/>
            <w:vAlign w:val="bottom"/>
            <w:tcBorders>
              <w:bottom w:val="single" w:sz="8" w:color="auto"/>
            </w:tcBorders>
          </w:tcPr>
          <w:p>
            <w:pPr>
              <w:jc w:val="center"/>
              <w:ind w:left="61"/>
              <w:spacing w:after="0" w:line="136" w:lineRule="exact"/>
              <w:rPr>
                <w:sz w:val="20"/>
                <w:szCs w:val="20"/>
                <w:color w:val="auto"/>
              </w:rPr>
            </w:pPr>
            <w:r>
              <w:rPr>
                <w:rFonts w:ascii="Arial" w:cs="Arial" w:eastAsia="Arial" w:hAnsi="Arial"/>
                <w:sz w:val="13"/>
                <w:szCs w:val="13"/>
                <w:color w:val="auto"/>
                <w:w w:val="97"/>
              </w:rPr>
              <w:t>298,216</w:t>
            </w:r>
          </w:p>
        </w:tc>
      </w:tr>
      <w:tr>
        <w:trPr>
          <w:trHeight w:val="136"/>
        </w:trPr>
        <w:tc>
          <w:tcPr>
            <w:tcW w:w="33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Vikas Bhalla</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7"/>
              </w:rPr>
              <w:t>169,370</w:t>
            </w:r>
          </w:p>
        </w:tc>
        <w:tc>
          <w:tcPr>
            <w:tcW w:w="188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7"/>
              </w:rPr>
              <w:t>138,203</w:t>
            </w:r>
          </w:p>
        </w:tc>
        <w:tc>
          <w:tcPr>
            <w:tcW w:w="1620" w:type="dxa"/>
            <w:vAlign w:val="bottom"/>
            <w:tcBorders>
              <w:bottom w:val="single" w:sz="8" w:color="auto"/>
            </w:tcBorders>
          </w:tcPr>
          <w:p>
            <w:pPr>
              <w:jc w:val="center"/>
              <w:ind w:left="61"/>
              <w:spacing w:after="0" w:line="136" w:lineRule="exact"/>
              <w:rPr>
                <w:sz w:val="20"/>
                <w:szCs w:val="20"/>
                <w:color w:val="auto"/>
              </w:rPr>
            </w:pPr>
            <w:r>
              <w:rPr>
                <w:rFonts w:ascii="Arial" w:cs="Arial" w:eastAsia="Arial" w:hAnsi="Arial"/>
                <w:sz w:val="13"/>
                <w:szCs w:val="13"/>
                <w:color w:val="auto"/>
                <w:w w:val="97"/>
              </w:rPr>
              <w:t>179,814</w:t>
            </w:r>
          </w:p>
        </w:tc>
      </w:tr>
      <w:tr>
        <w:trPr>
          <w:trHeight w:val="145"/>
        </w:trPr>
        <w:tc>
          <w:tcPr>
            <w:tcW w:w="336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Samuel Meckey</w:t>
            </w:r>
          </w:p>
        </w:tc>
        <w:tc>
          <w:tcPr>
            <w:tcW w:w="1880" w:type="dxa"/>
            <w:vAlign w:val="bottom"/>
            <w:tcBorders>
              <w:bottom w:val="single" w:sz="8" w:color="479EFF"/>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7"/>
              </w:rPr>
              <w:t>239,063</w:t>
            </w:r>
          </w:p>
        </w:tc>
        <w:tc>
          <w:tcPr>
            <w:tcW w:w="1880" w:type="dxa"/>
            <w:vAlign w:val="bottom"/>
            <w:tcBorders>
              <w:bottom w:val="single" w:sz="8" w:color="479EFF"/>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7"/>
              </w:rPr>
              <w:t>322,414</w:t>
            </w:r>
          </w:p>
        </w:tc>
        <w:tc>
          <w:tcPr>
            <w:tcW w:w="1620" w:type="dxa"/>
            <w:vAlign w:val="bottom"/>
            <w:tcBorders>
              <w:bottom w:val="single" w:sz="8" w:color="479EFF"/>
            </w:tcBorders>
          </w:tcPr>
          <w:p>
            <w:pPr>
              <w:jc w:val="center"/>
              <w:ind w:left="61"/>
              <w:spacing w:after="0" w:line="136" w:lineRule="exact"/>
              <w:rPr>
                <w:sz w:val="20"/>
                <w:szCs w:val="20"/>
                <w:color w:val="auto"/>
              </w:rPr>
            </w:pPr>
            <w:r>
              <w:rPr>
                <w:rFonts w:ascii="Arial" w:cs="Arial" w:eastAsia="Arial" w:hAnsi="Arial"/>
                <w:sz w:val="13"/>
                <w:szCs w:val="13"/>
                <w:color w:val="auto"/>
                <w:w w:val="97"/>
              </w:rPr>
              <w:t>401,042</w:t>
            </w:r>
          </w:p>
        </w:tc>
      </w:tr>
    </w:tbl>
    <w:p>
      <w:pPr>
        <w:spacing w:after="0" w:line="159" w:lineRule="exact"/>
        <w:rPr>
          <w:sz w:val="20"/>
          <w:szCs w:val="20"/>
          <w:color w:val="auto"/>
        </w:rPr>
      </w:pPr>
    </w:p>
    <w:p>
      <w:pPr>
        <w:ind w:left="940" w:hanging="164"/>
        <w:spacing w:after="0"/>
        <w:tabs>
          <w:tab w:leader="none" w:pos="940" w:val="left"/>
        </w:tabs>
        <w:numPr>
          <w:ilvl w:val="0"/>
          <w:numId w:val="64"/>
        </w:numPr>
        <w:rPr>
          <w:rFonts w:ascii="Arial" w:cs="Arial" w:eastAsia="Arial" w:hAnsi="Arial"/>
          <w:sz w:val="10"/>
          <w:szCs w:val="10"/>
          <w:color w:val="auto"/>
        </w:rPr>
      </w:pPr>
      <w:r>
        <w:rPr>
          <w:rFonts w:ascii="Arial" w:cs="Arial" w:eastAsia="Arial" w:hAnsi="Arial"/>
          <w:sz w:val="10"/>
          <w:szCs w:val="10"/>
          <w:color w:val="auto"/>
        </w:rPr>
        <w:t>The exchange rate used for the bonus conversion from Indian rupees to U.S. dollars for Messrs. Bagai and Bhalla was 73.065 INR to 1 USD, which was the exchange rate on December 31, 2020.</w:t>
      </w:r>
    </w:p>
    <w:p>
      <w:pPr>
        <w:spacing w:after="0" w:line="157" w:lineRule="exact"/>
        <w:rPr>
          <w:rFonts w:ascii="Arial" w:cs="Arial" w:eastAsia="Arial" w:hAnsi="Arial"/>
          <w:sz w:val="10"/>
          <w:szCs w:val="10"/>
          <w:color w:val="auto"/>
        </w:rPr>
      </w:pPr>
    </w:p>
    <w:p>
      <w:pPr>
        <w:ind w:left="940" w:hanging="164"/>
        <w:spacing w:after="0"/>
        <w:tabs>
          <w:tab w:leader="none" w:pos="940" w:val="left"/>
        </w:tabs>
        <w:numPr>
          <w:ilvl w:val="0"/>
          <w:numId w:val="64"/>
        </w:numPr>
        <w:rPr>
          <w:rFonts w:ascii="Arial" w:cs="Arial" w:eastAsia="Arial" w:hAnsi="Arial"/>
          <w:sz w:val="10"/>
          <w:szCs w:val="10"/>
          <w:color w:val="auto"/>
        </w:rPr>
      </w:pPr>
      <w:r>
        <w:rPr>
          <w:rFonts w:ascii="Arial" w:cs="Arial" w:eastAsia="Arial" w:hAnsi="Arial"/>
          <w:sz w:val="10"/>
          <w:szCs w:val="10"/>
          <w:color w:val="auto"/>
        </w:rPr>
        <w:t>Uses the midpoint of the individual performance funding range.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Long-Term Equity Incentives</w:t>
      </w:r>
    </w:p>
    <w:p>
      <w:pPr>
        <w:spacing w:after="0" w:line="168"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The Committee continues to believe that long-term equity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50" w:lineRule="exact"/>
        <w:rPr>
          <w:sz w:val="20"/>
          <w:szCs w:val="20"/>
          <w:color w:val="auto"/>
        </w:rPr>
      </w:pPr>
    </w:p>
    <w:p>
      <w:pPr>
        <w:ind w:right="120"/>
        <w:spacing w:after="0" w:line="266" w:lineRule="auto"/>
        <w:rPr>
          <w:sz w:val="20"/>
          <w:szCs w:val="20"/>
          <w:color w:val="auto"/>
        </w:rPr>
      </w:pPr>
      <w:r>
        <w:rPr>
          <w:rFonts w:ascii="Arial" w:cs="Arial" w:eastAsia="Arial" w:hAnsi="Arial"/>
          <w:sz w:val="12"/>
          <w:szCs w:val="12"/>
          <w:color w:val="auto"/>
        </w:rPr>
        <w:t>Moreover, the Committee favors restricted stock unit awards as these awards offer executives the opportunity to receive shares of our common stock on or shortly following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134" w:lineRule="exact"/>
        <w:rPr>
          <w:sz w:val="20"/>
          <w:szCs w:val="20"/>
          <w:color w:val="auto"/>
        </w:rPr>
      </w:pPr>
    </w:p>
    <w:p>
      <w:pPr>
        <w:ind w:right="560"/>
        <w:spacing w:after="0" w:line="278" w:lineRule="auto"/>
        <w:rPr>
          <w:sz w:val="20"/>
          <w:szCs w:val="20"/>
          <w:color w:val="auto"/>
        </w:rPr>
      </w:pPr>
      <w:r>
        <w:rPr>
          <w:rFonts w:ascii="Arial" w:cs="Arial" w:eastAsia="Arial" w:hAnsi="Arial"/>
          <w:sz w:val="12"/>
          <w:szCs w:val="12"/>
          <w:color w:val="auto"/>
        </w:rPr>
        <w:t>The Committee also believes that the mix between Time-Vested RSUs and Performance-Vested RSUs provides an appropriate balance between incentivizing our executives to continue their employment with the Company and to ensure they are focused on long-term financial performance and generating stockholder value, which will enable them to realize additional compensation.</w:t>
      </w:r>
    </w:p>
    <w:p>
      <w:pPr>
        <w:spacing w:after="0" w:line="128" w:lineRule="exact"/>
        <w:rPr>
          <w:sz w:val="20"/>
          <w:szCs w:val="20"/>
          <w:color w:val="auto"/>
        </w:rPr>
      </w:pPr>
    </w:p>
    <w:p>
      <w:pPr>
        <w:ind w:right="200"/>
        <w:spacing w:after="0" w:line="239" w:lineRule="auto"/>
        <w:rPr>
          <w:sz w:val="20"/>
          <w:szCs w:val="20"/>
          <w:color w:val="auto"/>
        </w:rPr>
      </w:pPr>
      <w:r>
        <w:rPr>
          <w:rFonts w:ascii="Arial" w:cs="Arial" w:eastAsia="Arial" w:hAnsi="Arial"/>
          <w:sz w:val="13"/>
          <w:szCs w:val="13"/>
          <w:color w:val="auto"/>
        </w:rPr>
        <w:t>Finally, restricted stock units are potentially less dilutive to stockholders' equity than stock options because restricted stock awards are full value awards, and our Compensation Committee can award fewer shares than an equivalent value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81" w:name="page82"/>
    <w:bookmarkEnd w:id="81"/>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479EFF"/>
        </w:rPr>
        <w:t>Fiscal Year 2020 Awards</w:t>
      </w:r>
    </w:p>
    <w:p>
      <w:pPr>
        <w:spacing w:after="0" w:line="168" w:lineRule="exact"/>
        <w:rPr>
          <w:sz w:val="20"/>
          <w:szCs w:val="20"/>
          <w:color w:val="auto"/>
        </w:rPr>
      </w:pPr>
    </w:p>
    <w:p>
      <w:pPr>
        <w:ind w:left="2" w:right="80"/>
        <w:spacing w:after="0" w:line="239" w:lineRule="auto"/>
        <w:rPr>
          <w:sz w:val="20"/>
          <w:szCs w:val="20"/>
          <w:color w:val="auto"/>
        </w:rPr>
      </w:pPr>
      <w:r>
        <w:rPr>
          <w:rFonts w:ascii="Arial" w:cs="Arial" w:eastAsia="Arial" w:hAnsi="Arial"/>
          <w:sz w:val="13"/>
          <w:szCs w:val="13"/>
          <w:color w:val="auto"/>
        </w:rPr>
        <w:t>Under our equity compensation program, our executive officers received restricted stock units under the 2018 Omnibus Incentive Plan approved by the Company's stockholders at the annual meeting of stockholders held in June 2018 (the "2018 Plan"). We awarded restricted stock units to nearly all of our named executive officers in the proportions shown below.</w:t>
      </w:r>
    </w:p>
    <w:p>
      <w:pPr>
        <w:spacing w:after="0" w:line="110" w:lineRule="exact"/>
        <w:rPr>
          <w:sz w:val="20"/>
          <w:szCs w:val="20"/>
          <w:color w:val="auto"/>
        </w:rPr>
      </w:pPr>
    </w:p>
    <w:tbl>
      <w:tblPr>
        <w:tblLayout w:type="fixed"/>
        <w:tblInd w:w="1722" w:type="dxa"/>
        <w:tblCellMar>
          <w:top w:w="0" w:type="dxa"/>
          <w:left w:w="0" w:type="dxa"/>
          <w:bottom w:w="0" w:type="dxa"/>
          <w:right w:w="0" w:type="dxa"/>
        </w:tblCellMar>
      </w:tblPr>
      <w:tr>
        <w:trPr>
          <w:trHeight w:val="412"/>
        </w:trPr>
        <w:tc>
          <w:tcPr>
            <w:tcW w:w="1740" w:type="dxa"/>
            <w:vAlign w:val="bottom"/>
          </w:tcPr>
          <w:p>
            <w:pPr>
              <w:jc w:val="right"/>
              <w:ind w:right="206"/>
              <w:spacing w:after="0"/>
              <w:rPr>
                <w:sz w:val="20"/>
                <w:szCs w:val="20"/>
                <w:color w:val="auto"/>
              </w:rPr>
            </w:pPr>
            <w:r>
              <w:rPr>
                <w:rFonts w:ascii="Arial" w:cs="Arial" w:eastAsia="Arial" w:hAnsi="Arial"/>
                <w:sz w:val="31"/>
                <w:szCs w:val="31"/>
                <w:b w:val="1"/>
                <w:bCs w:val="1"/>
                <w:color w:val="479EFF"/>
              </w:rPr>
              <w:t>50%    +</w:t>
            </w:r>
          </w:p>
        </w:tc>
        <w:tc>
          <w:tcPr>
            <w:tcW w:w="1540" w:type="dxa"/>
            <w:vAlign w:val="bottom"/>
          </w:tcPr>
          <w:p>
            <w:pPr>
              <w:jc w:val="center"/>
              <w:spacing w:after="0"/>
              <w:rPr>
                <w:sz w:val="20"/>
                <w:szCs w:val="20"/>
                <w:color w:val="auto"/>
              </w:rPr>
            </w:pPr>
            <w:r>
              <w:rPr>
                <w:rFonts w:ascii="Arial" w:cs="Arial" w:eastAsia="Arial" w:hAnsi="Arial"/>
                <w:sz w:val="31"/>
                <w:szCs w:val="31"/>
                <w:b w:val="1"/>
                <w:bCs w:val="1"/>
                <w:color w:val="479EFF"/>
                <w:w w:val="99"/>
              </w:rPr>
              <w:t>25%</w:t>
            </w:r>
          </w:p>
        </w:tc>
        <w:tc>
          <w:tcPr>
            <w:tcW w:w="740" w:type="dxa"/>
            <w:vAlign w:val="bottom"/>
          </w:tcPr>
          <w:p>
            <w:pPr>
              <w:jc w:val="right"/>
              <w:ind w:right="124"/>
              <w:spacing w:after="0"/>
              <w:rPr>
                <w:sz w:val="20"/>
                <w:szCs w:val="20"/>
                <w:color w:val="auto"/>
              </w:rPr>
            </w:pPr>
            <w:r>
              <w:rPr>
                <w:rFonts w:ascii="Arial" w:cs="Arial" w:eastAsia="Arial" w:hAnsi="Arial"/>
                <w:sz w:val="31"/>
                <w:szCs w:val="31"/>
                <w:b w:val="1"/>
                <w:bCs w:val="1"/>
                <w:color w:val="479EFF"/>
              </w:rPr>
              <w:t>+</w:t>
            </w:r>
          </w:p>
        </w:tc>
        <w:tc>
          <w:tcPr>
            <w:tcW w:w="1780" w:type="dxa"/>
            <w:vAlign w:val="bottom"/>
          </w:tcPr>
          <w:p>
            <w:pPr>
              <w:jc w:val="center"/>
              <w:spacing w:after="0"/>
              <w:rPr>
                <w:sz w:val="20"/>
                <w:szCs w:val="20"/>
                <w:color w:val="auto"/>
              </w:rPr>
            </w:pPr>
            <w:r>
              <w:rPr>
                <w:rFonts w:ascii="Arial" w:cs="Arial" w:eastAsia="Arial" w:hAnsi="Arial"/>
                <w:sz w:val="31"/>
                <w:szCs w:val="31"/>
                <w:b w:val="1"/>
                <w:bCs w:val="1"/>
                <w:color w:val="479EFF"/>
                <w:w w:val="99"/>
              </w:rPr>
              <w:t>25%</w:t>
            </w:r>
          </w:p>
        </w:tc>
        <w:tc>
          <w:tcPr>
            <w:tcW w:w="2040" w:type="dxa"/>
            <w:vAlign w:val="bottom"/>
          </w:tcPr>
          <w:p>
            <w:pPr>
              <w:ind w:left="280"/>
              <w:spacing w:after="0"/>
              <w:rPr>
                <w:sz w:val="20"/>
                <w:szCs w:val="20"/>
                <w:color w:val="auto"/>
              </w:rPr>
            </w:pPr>
            <w:r>
              <w:rPr>
                <w:rFonts w:ascii="Arial" w:cs="Arial" w:eastAsia="Arial" w:hAnsi="Arial"/>
                <w:sz w:val="31"/>
                <w:szCs w:val="31"/>
                <w:b w:val="1"/>
                <w:bCs w:val="1"/>
                <w:color w:val="479EFF"/>
              </w:rPr>
              <w:t xml:space="preserve">=   </w:t>
            </w:r>
            <w:r>
              <w:rPr>
                <w:rFonts w:ascii="Arial" w:cs="Arial" w:eastAsia="Arial" w:hAnsi="Arial"/>
                <w:sz w:val="31"/>
                <w:szCs w:val="31"/>
                <w:b w:val="1"/>
                <w:bCs w:val="1"/>
                <w:color w:val="FF4000"/>
              </w:rPr>
              <w:t>TOTAL</w:t>
            </w:r>
          </w:p>
        </w:tc>
      </w:tr>
      <w:tr>
        <w:trPr>
          <w:trHeight w:val="293"/>
        </w:trPr>
        <w:tc>
          <w:tcPr>
            <w:tcW w:w="1740" w:type="dxa"/>
            <w:vAlign w:val="bottom"/>
          </w:tcPr>
          <w:p>
            <w:pPr>
              <w:jc w:val="center"/>
              <w:ind w:right="906"/>
              <w:spacing w:after="0"/>
              <w:rPr>
                <w:sz w:val="20"/>
                <w:szCs w:val="20"/>
                <w:color w:val="auto"/>
              </w:rPr>
            </w:pPr>
            <w:r>
              <w:rPr>
                <w:rFonts w:ascii="Arial" w:cs="Arial" w:eastAsia="Arial" w:hAnsi="Arial"/>
                <w:sz w:val="13"/>
                <w:szCs w:val="13"/>
                <w:b w:val="1"/>
                <w:bCs w:val="1"/>
                <w:color w:val="auto"/>
                <w:w w:val="95"/>
              </w:rPr>
              <w:t>Time-Vested</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7"/>
              </w:rPr>
              <w:t>Revenue-Linked</w:t>
            </w:r>
          </w:p>
        </w:tc>
        <w:tc>
          <w:tcPr>
            <w:tcW w:w="74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7"/>
              </w:rPr>
              <w:t>Relative TSR-Linked</w:t>
            </w:r>
          </w:p>
        </w:tc>
        <w:tc>
          <w:tcPr>
            <w:tcW w:w="2040" w:type="dxa"/>
            <w:vAlign w:val="bottom"/>
          </w:tcPr>
          <w:p>
            <w:pPr>
              <w:jc w:val="center"/>
              <w:ind w:left="926"/>
              <w:spacing w:after="0"/>
              <w:rPr>
                <w:sz w:val="20"/>
                <w:szCs w:val="20"/>
                <w:color w:val="auto"/>
              </w:rPr>
            </w:pPr>
            <w:r>
              <w:rPr>
                <w:rFonts w:ascii="Arial" w:cs="Arial" w:eastAsia="Arial" w:hAnsi="Arial"/>
                <w:sz w:val="13"/>
                <w:szCs w:val="13"/>
                <w:b w:val="1"/>
                <w:bCs w:val="1"/>
                <w:color w:val="auto"/>
                <w:w w:val="92"/>
              </w:rPr>
              <w:t>LTI</w:t>
            </w:r>
          </w:p>
        </w:tc>
      </w:tr>
      <w:tr>
        <w:trPr>
          <w:trHeight w:val="168"/>
        </w:trPr>
        <w:tc>
          <w:tcPr>
            <w:tcW w:w="1740" w:type="dxa"/>
            <w:vAlign w:val="bottom"/>
          </w:tcPr>
          <w:p>
            <w:pPr>
              <w:jc w:val="center"/>
              <w:ind w:right="906"/>
              <w:spacing w:after="0"/>
              <w:rPr>
                <w:sz w:val="20"/>
                <w:szCs w:val="20"/>
                <w:color w:val="auto"/>
              </w:rPr>
            </w:pPr>
            <w:r>
              <w:rPr>
                <w:rFonts w:ascii="Arial" w:cs="Arial" w:eastAsia="Arial" w:hAnsi="Arial"/>
                <w:sz w:val="13"/>
                <w:szCs w:val="13"/>
                <w:b w:val="1"/>
                <w:bCs w:val="1"/>
                <w:color w:val="auto"/>
                <w:w w:val="97"/>
              </w:rPr>
              <w:t>RSUs</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7"/>
              </w:rPr>
              <w:t>RSUs</w:t>
            </w:r>
          </w:p>
        </w:tc>
        <w:tc>
          <w:tcPr>
            <w:tcW w:w="74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6"/>
              </w:rPr>
              <w:t>PRSUs</w:t>
            </w:r>
          </w:p>
        </w:tc>
        <w:tc>
          <w:tcPr>
            <w:tcW w:w="2040" w:type="dxa"/>
            <w:vAlign w:val="bottom"/>
          </w:tcPr>
          <w:p>
            <w:pPr>
              <w:jc w:val="center"/>
              <w:ind w:left="926"/>
              <w:spacing w:after="0"/>
              <w:rPr>
                <w:sz w:val="20"/>
                <w:szCs w:val="20"/>
                <w:color w:val="auto"/>
              </w:rPr>
            </w:pPr>
            <w:r>
              <w:rPr>
                <w:rFonts w:ascii="Arial" w:cs="Arial" w:eastAsia="Arial" w:hAnsi="Arial"/>
                <w:sz w:val="13"/>
                <w:szCs w:val="13"/>
                <w:b w:val="1"/>
                <w:bCs w:val="1"/>
                <w:color w:val="auto"/>
                <w:w w:val="95"/>
              </w:rPr>
              <w:t>Award</w:t>
            </w:r>
          </w:p>
        </w:tc>
      </w:tr>
    </w:tbl>
    <w:p>
      <w:pPr>
        <w:spacing w:after="0" w:line="149" w:lineRule="exact"/>
        <w:rPr>
          <w:sz w:val="20"/>
          <w:szCs w:val="20"/>
          <w:color w:val="auto"/>
        </w:rPr>
      </w:pPr>
    </w:p>
    <w:p>
      <w:pPr>
        <w:ind w:left="2" w:right="600"/>
        <w:spacing w:after="0" w:line="239" w:lineRule="auto"/>
        <w:rPr>
          <w:sz w:val="20"/>
          <w:szCs w:val="20"/>
          <w:color w:val="auto"/>
        </w:rPr>
      </w:pPr>
      <w:r>
        <w:rPr>
          <w:rFonts w:ascii="Arial" w:cs="Arial" w:eastAsia="Arial" w:hAnsi="Arial"/>
          <w:sz w:val="13"/>
          <w:szCs w:val="13"/>
          <w:color w:val="auto"/>
        </w:rPr>
        <w:t>The table below shows the amount of Time-Vested and Performance-Vested RSUs our Compensation Committee awarded our named executive officers in 2020. In general, the Compensation Committee believes that the size of the award granted to an executive officer should increase based on the executive officer's level of responsibility within the Company.</w:t>
      </w:r>
    </w:p>
    <w:p>
      <w:pPr>
        <w:spacing w:after="0" w:line="139" w:lineRule="exact"/>
        <w:rPr>
          <w:sz w:val="20"/>
          <w:szCs w:val="20"/>
          <w:color w:val="auto"/>
        </w:rPr>
      </w:pPr>
    </w:p>
    <w:tbl>
      <w:tblPr>
        <w:tblLayout w:type="fixed"/>
        <w:tblInd w:w="2" w:type="dxa"/>
        <w:tblCellMar>
          <w:top w:w="0" w:type="dxa"/>
          <w:left w:w="0" w:type="dxa"/>
          <w:bottom w:w="0" w:type="dxa"/>
          <w:right w:w="0" w:type="dxa"/>
        </w:tblCellMar>
      </w:tblPr>
      <w:tr>
        <w:trPr>
          <w:trHeight w:val="134"/>
        </w:trPr>
        <w:tc>
          <w:tcPr>
            <w:tcW w:w="6480" w:type="dxa"/>
            <w:vAlign w:val="bottom"/>
            <w:tcBorders>
              <w:bottom w:val="single" w:sz="8" w:color="479EFF"/>
            </w:tcBorders>
          </w:tcPr>
          <w:p>
            <w:pPr>
              <w:spacing w:after="0"/>
              <w:rPr>
                <w:sz w:val="20"/>
                <w:szCs w:val="20"/>
                <w:color w:val="auto"/>
              </w:rPr>
            </w:pPr>
            <w:r>
              <w:rPr>
                <w:rFonts w:ascii="Arial" w:cs="Arial" w:eastAsia="Arial" w:hAnsi="Arial"/>
                <w:sz w:val="10"/>
                <w:szCs w:val="10"/>
                <w:b w:val="1"/>
                <w:bCs w:val="1"/>
                <w:color w:val="479EFF"/>
              </w:rPr>
              <w:t>Name</w:t>
            </w:r>
          </w:p>
        </w:tc>
        <w:tc>
          <w:tcPr>
            <w:tcW w:w="1420" w:type="dxa"/>
            <w:vAlign w:val="bottom"/>
            <w:tcBorders>
              <w:bottom w:val="single" w:sz="8" w:color="479EFF"/>
            </w:tcBorders>
          </w:tcPr>
          <w:p>
            <w:pPr>
              <w:jc w:val="right"/>
              <w:ind w:right="280"/>
              <w:spacing w:after="0"/>
              <w:rPr>
                <w:sz w:val="20"/>
                <w:szCs w:val="20"/>
                <w:color w:val="auto"/>
              </w:rPr>
            </w:pPr>
            <w:r>
              <w:rPr>
                <w:rFonts w:ascii="Arial" w:cs="Arial" w:eastAsia="Arial" w:hAnsi="Arial"/>
                <w:sz w:val="10"/>
                <w:szCs w:val="10"/>
                <w:b w:val="1"/>
                <w:bCs w:val="1"/>
                <w:color w:val="479EFF"/>
              </w:rPr>
              <w:t>Time-Vested RSUs</w:t>
            </w:r>
          </w:p>
        </w:tc>
        <w:tc>
          <w:tcPr>
            <w:tcW w:w="1660" w:type="dxa"/>
            <w:vAlign w:val="bottom"/>
            <w:tcBorders>
              <w:bottom w:val="single" w:sz="8" w:color="479EFF"/>
            </w:tcBorders>
          </w:tcPr>
          <w:p>
            <w:pPr>
              <w:jc w:val="right"/>
              <w:ind w:right="258"/>
              <w:spacing w:after="0"/>
              <w:rPr>
                <w:sz w:val="20"/>
                <w:szCs w:val="20"/>
                <w:color w:val="auto"/>
              </w:rPr>
            </w:pPr>
            <w:r>
              <w:rPr>
                <w:rFonts w:ascii="Arial" w:cs="Arial" w:eastAsia="Arial" w:hAnsi="Arial"/>
                <w:sz w:val="10"/>
                <w:szCs w:val="10"/>
                <w:b w:val="1"/>
                <w:bCs w:val="1"/>
                <w:color w:val="479EFF"/>
              </w:rPr>
              <w:t>Revenue-Linked PRSUs</w:t>
            </w:r>
          </w:p>
        </w:tc>
        <w:tc>
          <w:tcPr>
            <w:tcW w:w="1580" w:type="dxa"/>
            <w:vAlign w:val="bottom"/>
            <w:tcBorders>
              <w:bottom w:val="single" w:sz="8" w:color="479EFF"/>
            </w:tcBorders>
          </w:tcPr>
          <w:p>
            <w:pPr>
              <w:jc w:val="right"/>
              <w:spacing w:after="0"/>
              <w:rPr>
                <w:sz w:val="20"/>
                <w:szCs w:val="20"/>
                <w:color w:val="auto"/>
              </w:rPr>
            </w:pPr>
            <w:r>
              <w:rPr>
                <w:rFonts w:ascii="Arial" w:cs="Arial" w:eastAsia="Arial" w:hAnsi="Arial"/>
                <w:sz w:val="10"/>
                <w:szCs w:val="10"/>
                <w:b w:val="1"/>
                <w:bCs w:val="1"/>
                <w:color w:val="479EFF"/>
              </w:rPr>
              <w:t>Relative TSR-Linked PRSUs</w:t>
            </w:r>
          </w:p>
        </w:tc>
      </w:tr>
      <w:tr>
        <w:trPr>
          <w:trHeight w:val="175"/>
        </w:trPr>
        <w:tc>
          <w:tcPr>
            <w:tcW w:w="6480" w:type="dxa"/>
            <w:vAlign w:val="bottom"/>
            <w:tcBorders>
              <w:bottom w:val="single" w:sz="8" w:color="auto"/>
              <w:right w:val="single" w:sz="8" w:color="auto"/>
            </w:tcBorders>
          </w:tcPr>
          <w:p>
            <w:pPr>
              <w:spacing w:after="0" w:line="175" w:lineRule="exact"/>
              <w:rPr>
                <w:sz w:val="20"/>
                <w:szCs w:val="20"/>
                <w:color w:val="auto"/>
              </w:rPr>
            </w:pPr>
            <w:r>
              <w:rPr>
                <w:rFonts w:ascii="Arial" w:cs="Arial" w:eastAsia="Arial" w:hAnsi="Arial"/>
                <w:sz w:val="12"/>
                <w:szCs w:val="12"/>
                <w:b w:val="1"/>
                <w:bCs w:val="1"/>
                <w:color w:val="auto"/>
              </w:rPr>
              <w:t>Rohit Kapoor</w:t>
            </w:r>
            <w:r>
              <w:rPr>
                <w:rFonts w:ascii="Arial" w:cs="Arial" w:eastAsia="Arial" w:hAnsi="Arial"/>
                <w:sz w:val="20"/>
                <w:szCs w:val="20"/>
                <w:color w:val="auto"/>
                <w:vertAlign w:val="superscript"/>
              </w:rPr>
              <w:t>(1)</w:t>
            </w:r>
          </w:p>
        </w:tc>
        <w:tc>
          <w:tcPr>
            <w:tcW w:w="1420" w:type="dxa"/>
            <w:vAlign w:val="bottom"/>
            <w:tcBorders>
              <w:bottom w:val="single" w:sz="8" w:color="auto"/>
              <w:right w:val="single" w:sz="8" w:color="auto"/>
            </w:tcBorders>
          </w:tcPr>
          <w:p>
            <w:pPr>
              <w:jc w:val="right"/>
              <w:ind w:right="460"/>
              <w:spacing w:after="0"/>
              <w:rPr>
                <w:sz w:val="20"/>
                <w:szCs w:val="20"/>
                <w:color w:val="auto"/>
              </w:rPr>
            </w:pPr>
            <w:r>
              <w:rPr>
                <w:rFonts w:ascii="Arial" w:cs="Arial" w:eastAsia="Arial" w:hAnsi="Arial"/>
                <w:sz w:val="13"/>
                <w:szCs w:val="13"/>
                <w:color w:val="auto"/>
              </w:rPr>
              <w:t>23,520</w:t>
            </w:r>
          </w:p>
        </w:tc>
        <w:tc>
          <w:tcPr>
            <w:tcW w:w="1660" w:type="dxa"/>
            <w:vAlign w:val="bottom"/>
            <w:tcBorders>
              <w:bottom w:val="single" w:sz="8" w:color="auto"/>
              <w:right w:val="single" w:sz="8" w:color="auto"/>
            </w:tcBorders>
          </w:tcPr>
          <w:p>
            <w:pPr>
              <w:jc w:val="right"/>
              <w:ind w:right="658"/>
              <w:spacing w:after="0"/>
              <w:rPr>
                <w:sz w:val="20"/>
                <w:szCs w:val="20"/>
                <w:color w:val="auto"/>
              </w:rPr>
            </w:pPr>
            <w:r>
              <w:rPr>
                <w:rFonts w:ascii="Arial" w:cs="Arial" w:eastAsia="Arial" w:hAnsi="Arial"/>
                <w:sz w:val="13"/>
                <w:szCs w:val="13"/>
                <w:color w:val="auto"/>
              </w:rPr>
              <w:t>21,330</w:t>
            </w:r>
          </w:p>
        </w:tc>
        <w:tc>
          <w:tcPr>
            <w:tcW w:w="1580" w:type="dxa"/>
            <w:vAlign w:val="bottom"/>
            <w:tcBorders>
              <w:bottom w:val="single" w:sz="8" w:color="auto"/>
            </w:tcBorders>
          </w:tcPr>
          <w:p>
            <w:pPr>
              <w:jc w:val="right"/>
              <w:ind w:right="458"/>
              <w:spacing w:after="0"/>
              <w:rPr>
                <w:sz w:val="20"/>
                <w:szCs w:val="20"/>
                <w:color w:val="auto"/>
              </w:rPr>
            </w:pPr>
            <w:r>
              <w:rPr>
                <w:rFonts w:ascii="Arial" w:cs="Arial" w:eastAsia="Arial" w:hAnsi="Arial"/>
                <w:sz w:val="13"/>
                <w:szCs w:val="13"/>
                <w:color w:val="auto"/>
              </w:rPr>
              <w:t>21,330</w:t>
            </w:r>
          </w:p>
        </w:tc>
      </w:tr>
      <w:tr>
        <w:trPr>
          <w:trHeight w:val="136"/>
        </w:trPr>
        <w:tc>
          <w:tcPr>
            <w:tcW w:w="648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Maurizio Nicolelli</w:t>
            </w:r>
          </w:p>
        </w:tc>
        <w:tc>
          <w:tcPr>
            <w:tcW w:w="1420" w:type="dxa"/>
            <w:vAlign w:val="bottom"/>
            <w:tcBorders>
              <w:bottom w:val="single" w:sz="8" w:color="auto"/>
              <w:right w:val="single" w:sz="8" w:color="auto"/>
            </w:tcBorders>
          </w:tcPr>
          <w:p>
            <w:pPr>
              <w:jc w:val="right"/>
              <w:ind w:right="340"/>
              <w:spacing w:after="0" w:line="136" w:lineRule="exact"/>
              <w:rPr>
                <w:sz w:val="20"/>
                <w:szCs w:val="20"/>
                <w:color w:val="auto"/>
              </w:rPr>
            </w:pPr>
            <w:r>
              <w:rPr>
                <w:rFonts w:ascii="Arial" w:cs="Arial" w:eastAsia="Arial" w:hAnsi="Arial"/>
                <w:sz w:val="10"/>
                <w:szCs w:val="10"/>
                <w:color w:val="auto"/>
              </w:rPr>
              <w:t>10,263</w:t>
            </w:r>
            <w:r>
              <w:rPr>
                <w:rFonts w:ascii="Arial" w:cs="Arial" w:eastAsia="Arial" w:hAnsi="Arial"/>
                <w:sz w:val="15"/>
                <w:szCs w:val="15"/>
                <w:color w:val="auto"/>
                <w:vertAlign w:val="superscript"/>
              </w:rPr>
              <w:t>(2)</w:t>
            </w:r>
          </w:p>
        </w:tc>
        <w:tc>
          <w:tcPr>
            <w:tcW w:w="1660" w:type="dxa"/>
            <w:vAlign w:val="bottom"/>
            <w:tcBorders>
              <w:bottom w:val="single" w:sz="8" w:color="auto"/>
              <w:right w:val="single" w:sz="8" w:color="auto"/>
            </w:tcBorders>
          </w:tcPr>
          <w:p>
            <w:pPr>
              <w:jc w:val="right"/>
              <w:ind w:right="658"/>
              <w:spacing w:after="0" w:line="136" w:lineRule="exact"/>
              <w:rPr>
                <w:sz w:val="20"/>
                <w:szCs w:val="20"/>
                <w:color w:val="auto"/>
              </w:rPr>
            </w:pPr>
            <w:r>
              <w:rPr>
                <w:rFonts w:ascii="Arial" w:cs="Arial" w:eastAsia="Arial" w:hAnsi="Arial"/>
                <w:sz w:val="13"/>
                <w:szCs w:val="13"/>
                <w:color w:val="auto"/>
              </w:rPr>
              <w:t>2,183</w:t>
            </w:r>
          </w:p>
        </w:tc>
        <w:tc>
          <w:tcPr>
            <w:tcW w:w="1580" w:type="dxa"/>
            <w:vAlign w:val="bottom"/>
            <w:tcBorders>
              <w:bottom w:val="single" w:sz="8" w:color="auto"/>
            </w:tcBorders>
          </w:tcPr>
          <w:p>
            <w:pPr>
              <w:jc w:val="right"/>
              <w:ind w:right="458"/>
              <w:spacing w:after="0" w:line="136" w:lineRule="exact"/>
              <w:rPr>
                <w:sz w:val="20"/>
                <w:szCs w:val="20"/>
                <w:color w:val="auto"/>
              </w:rPr>
            </w:pPr>
            <w:r>
              <w:rPr>
                <w:rFonts w:ascii="Arial" w:cs="Arial" w:eastAsia="Arial" w:hAnsi="Arial"/>
                <w:sz w:val="13"/>
                <w:szCs w:val="13"/>
                <w:color w:val="auto"/>
              </w:rPr>
              <w:t>2,182</w:t>
            </w:r>
          </w:p>
        </w:tc>
      </w:tr>
      <w:tr>
        <w:trPr>
          <w:trHeight w:val="136"/>
        </w:trPr>
        <w:tc>
          <w:tcPr>
            <w:tcW w:w="648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Pavan Bagai</w:t>
            </w:r>
          </w:p>
        </w:tc>
        <w:tc>
          <w:tcPr>
            <w:tcW w:w="1420" w:type="dxa"/>
            <w:vAlign w:val="bottom"/>
            <w:tcBorders>
              <w:bottom w:val="single" w:sz="8" w:color="auto"/>
              <w:right w:val="single" w:sz="8" w:color="auto"/>
            </w:tcBorders>
          </w:tcPr>
          <w:p>
            <w:pPr>
              <w:jc w:val="right"/>
              <w:ind w:right="460"/>
              <w:spacing w:after="0" w:line="136" w:lineRule="exact"/>
              <w:rPr>
                <w:sz w:val="20"/>
                <w:szCs w:val="20"/>
                <w:color w:val="auto"/>
              </w:rPr>
            </w:pPr>
            <w:r>
              <w:rPr>
                <w:rFonts w:ascii="Arial" w:cs="Arial" w:eastAsia="Arial" w:hAnsi="Arial"/>
                <w:sz w:val="13"/>
                <w:szCs w:val="13"/>
                <w:color w:val="auto"/>
              </w:rPr>
              <w:t>10,045</w:t>
            </w:r>
          </w:p>
        </w:tc>
        <w:tc>
          <w:tcPr>
            <w:tcW w:w="1660" w:type="dxa"/>
            <w:vAlign w:val="bottom"/>
            <w:tcBorders>
              <w:bottom w:val="single" w:sz="8" w:color="auto"/>
              <w:right w:val="single" w:sz="8" w:color="auto"/>
            </w:tcBorders>
          </w:tcPr>
          <w:p>
            <w:pPr>
              <w:jc w:val="right"/>
              <w:ind w:right="658"/>
              <w:spacing w:after="0" w:line="136" w:lineRule="exact"/>
              <w:rPr>
                <w:sz w:val="20"/>
                <w:szCs w:val="20"/>
                <w:color w:val="auto"/>
              </w:rPr>
            </w:pPr>
            <w:r>
              <w:rPr>
                <w:rFonts w:ascii="Arial" w:cs="Arial" w:eastAsia="Arial" w:hAnsi="Arial"/>
                <w:sz w:val="13"/>
                <w:szCs w:val="13"/>
                <w:color w:val="auto"/>
              </w:rPr>
              <w:t>5,023</w:t>
            </w:r>
          </w:p>
        </w:tc>
        <w:tc>
          <w:tcPr>
            <w:tcW w:w="1580" w:type="dxa"/>
            <w:vAlign w:val="bottom"/>
            <w:tcBorders>
              <w:bottom w:val="single" w:sz="8" w:color="auto"/>
            </w:tcBorders>
          </w:tcPr>
          <w:p>
            <w:pPr>
              <w:jc w:val="right"/>
              <w:ind w:right="458"/>
              <w:spacing w:after="0" w:line="136" w:lineRule="exact"/>
              <w:rPr>
                <w:sz w:val="20"/>
                <w:szCs w:val="20"/>
                <w:color w:val="auto"/>
              </w:rPr>
            </w:pPr>
            <w:r>
              <w:rPr>
                <w:rFonts w:ascii="Arial" w:cs="Arial" w:eastAsia="Arial" w:hAnsi="Arial"/>
                <w:sz w:val="13"/>
                <w:szCs w:val="13"/>
                <w:color w:val="auto"/>
              </w:rPr>
              <w:t>5,022</w:t>
            </w:r>
          </w:p>
        </w:tc>
      </w:tr>
      <w:tr>
        <w:trPr>
          <w:trHeight w:val="136"/>
        </w:trPr>
        <w:tc>
          <w:tcPr>
            <w:tcW w:w="648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Nalin Miglani</w:t>
            </w:r>
          </w:p>
        </w:tc>
        <w:tc>
          <w:tcPr>
            <w:tcW w:w="1420" w:type="dxa"/>
            <w:vAlign w:val="bottom"/>
            <w:tcBorders>
              <w:bottom w:val="single" w:sz="8" w:color="auto"/>
              <w:right w:val="single" w:sz="8" w:color="auto"/>
            </w:tcBorders>
          </w:tcPr>
          <w:p>
            <w:pPr>
              <w:jc w:val="right"/>
              <w:ind w:right="460"/>
              <w:spacing w:after="0" w:line="136" w:lineRule="exact"/>
              <w:rPr>
                <w:sz w:val="20"/>
                <w:szCs w:val="20"/>
                <w:color w:val="auto"/>
              </w:rPr>
            </w:pPr>
            <w:r>
              <w:rPr>
                <w:rFonts w:ascii="Arial" w:cs="Arial" w:eastAsia="Arial" w:hAnsi="Arial"/>
                <w:sz w:val="13"/>
                <w:szCs w:val="13"/>
                <w:color w:val="auto"/>
              </w:rPr>
              <w:t>6,995</w:t>
            </w:r>
          </w:p>
        </w:tc>
        <w:tc>
          <w:tcPr>
            <w:tcW w:w="1660" w:type="dxa"/>
            <w:vAlign w:val="bottom"/>
            <w:tcBorders>
              <w:bottom w:val="single" w:sz="8" w:color="auto"/>
              <w:right w:val="single" w:sz="8" w:color="auto"/>
            </w:tcBorders>
          </w:tcPr>
          <w:p>
            <w:pPr>
              <w:jc w:val="right"/>
              <w:ind w:right="658"/>
              <w:spacing w:after="0" w:line="136" w:lineRule="exact"/>
              <w:rPr>
                <w:sz w:val="20"/>
                <w:szCs w:val="20"/>
                <w:color w:val="auto"/>
              </w:rPr>
            </w:pPr>
            <w:r>
              <w:rPr>
                <w:rFonts w:ascii="Arial" w:cs="Arial" w:eastAsia="Arial" w:hAnsi="Arial"/>
                <w:sz w:val="13"/>
                <w:szCs w:val="13"/>
                <w:color w:val="auto"/>
              </w:rPr>
              <w:t>3,498</w:t>
            </w:r>
          </w:p>
        </w:tc>
        <w:tc>
          <w:tcPr>
            <w:tcW w:w="1580" w:type="dxa"/>
            <w:vAlign w:val="bottom"/>
            <w:tcBorders>
              <w:bottom w:val="single" w:sz="8" w:color="auto"/>
            </w:tcBorders>
          </w:tcPr>
          <w:p>
            <w:pPr>
              <w:jc w:val="right"/>
              <w:ind w:right="458"/>
              <w:spacing w:after="0" w:line="136" w:lineRule="exact"/>
              <w:rPr>
                <w:sz w:val="20"/>
                <w:szCs w:val="20"/>
                <w:color w:val="auto"/>
              </w:rPr>
            </w:pPr>
            <w:r>
              <w:rPr>
                <w:rFonts w:ascii="Arial" w:cs="Arial" w:eastAsia="Arial" w:hAnsi="Arial"/>
                <w:sz w:val="13"/>
                <w:szCs w:val="13"/>
                <w:color w:val="auto"/>
              </w:rPr>
              <w:t>3,497</w:t>
            </w:r>
          </w:p>
        </w:tc>
      </w:tr>
      <w:tr>
        <w:trPr>
          <w:trHeight w:val="136"/>
        </w:trPr>
        <w:tc>
          <w:tcPr>
            <w:tcW w:w="648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Vikas Bhalla</w:t>
            </w:r>
          </w:p>
        </w:tc>
        <w:tc>
          <w:tcPr>
            <w:tcW w:w="1420" w:type="dxa"/>
            <w:vAlign w:val="bottom"/>
            <w:tcBorders>
              <w:bottom w:val="single" w:sz="8" w:color="auto"/>
              <w:right w:val="single" w:sz="8" w:color="auto"/>
            </w:tcBorders>
          </w:tcPr>
          <w:p>
            <w:pPr>
              <w:jc w:val="right"/>
              <w:ind w:right="460"/>
              <w:spacing w:after="0" w:line="136" w:lineRule="exact"/>
              <w:rPr>
                <w:sz w:val="20"/>
                <w:szCs w:val="20"/>
                <w:color w:val="auto"/>
              </w:rPr>
            </w:pPr>
            <w:r>
              <w:rPr>
                <w:rFonts w:ascii="Arial" w:cs="Arial" w:eastAsia="Arial" w:hAnsi="Arial"/>
                <w:sz w:val="13"/>
                <w:szCs w:val="13"/>
                <w:color w:val="auto"/>
              </w:rPr>
              <w:t>8,300</w:t>
            </w:r>
          </w:p>
        </w:tc>
        <w:tc>
          <w:tcPr>
            <w:tcW w:w="1660" w:type="dxa"/>
            <w:vAlign w:val="bottom"/>
            <w:tcBorders>
              <w:bottom w:val="single" w:sz="8" w:color="auto"/>
              <w:right w:val="single" w:sz="8" w:color="auto"/>
            </w:tcBorders>
          </w:tcPr>
          <w:p>
            <w:pPr>
              <w:jc w:val="right"/>
              <w:ind w:right="658"/>
              <w:spacing w:after="0" w:line="136" w:lineRule="exact"/>
              <w:rPr>
                <w:sz w:val="20"/>
                <w:szCs w:val="20"/>
                <w:color w:val="auto"/>
              </w:rPr>
            </w:pPr>
            <w:r>
              <w:rPr>
                <w:rFonts w:ascii="Arial" w:cs="Arial" w:eastAsia="Arial" w:hAnsi="Arial"/>
                <w:sz w:val="13"/>
                <w:szCs w:val="13"/>
                <w:color w:val="auto"/>
              </w:rPr>
              <w:t>4,150</w:t>
            </w:r>
          </w:p>
        </w:tc>
        <w:tc>
          <w:tcPr>
            <w:tcW w:w="1580" w:type="dxa"/>
            <w:vAlign w:val="bottom"/>
            <w:tcBorders>
              <w:bottom w:val="single" w:sz="8" w:color="auto"/>
            </w:tcBorders>
          </w:tcPr>
          <w:p>
            <w:pPr>
              <w:jc w:val="right"/>
              <w:ind w:right="458"/>
              <w:spacing w:after="0" w:line="136" w:lineRule="exact"/>
              <w:rPr>
                <w:sz w:val="20"/>
                <w:szCs w:val="20"/>
                <w:color w:val="auto"/>
              </w:rPr>
            </w:pPr>
            <w:r>
              <w:rPr>
                <w:rFonts w:ascii="Arial" w:cs="Arial" w:eastAsia="Arial" w:hAnsi="Arial"/>
                <w:sz w:val="13"/>
                <w:szCs w:val="13"/>
                <w:color w:val="auto"/>
              </w:rPr>
              <w:t>4,150</w:t>
            </w:r>
          </w:p>
        </w:tc>
      </w:tr>
      <w:tr>
        <w:trPr>
          <w:trHeight w:val="145"/>
        </w:trPr>
        <w:tc>
          <w:tcPr>
            <w:tcW w:w="648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Samuel Meckey</w:t>
            </w:r>
          </w:p>
        </w:tc>
        <w:tc>
          <w:tcPr>
            <w:tcW w:w="1420" w:type="dxa"/>
            <w:vAlign w:val="bottom"/>
            <w:tcBorders>
              <w:bottom w:val="single" w:sz="8" w:color="479EFF"/>
              <w:right w:val="single" w:sz="8" w:color="auto"/>
            </w:tcBorders>
          </w:tcPr>
          <w:p>
            <w:pPr>
              <w:jc w:val="right"/>
              <w:ind w:right="460"/>
              <w:spacing w:after="0" w:line="136" w:lineRule="exact"/>
              <w:rPr>
                <w:sz w:val="20"/>
                <w:szCs w:val="20"/>
                <w:color w:val="auto"/>
              </w:rPr>
            </w:pPr>
            <w:r>
              <w:rPr>
                <w:rFonts w:ascii="Arial" w:cs="Arial" w:eastAsia="Arial" w:hAnsi="Arial"/>
                <w:sz w:val="13"/>
                <w:szCs w:val="13"/>
                <w:color w:val="auto"/>
              </w:rPr>
              <w:t>6,565</w:t>
            </w:r>
          </w:p>
        </w:tc>
        <w:tc>
          <w:tcPr>
            <w:tcW w:w="1660" w:type="dxa"/>
            <w:vAlign w:val="bottom"/>
            <w:tcBorders>
              <w:bottom w:val="single" w:sz="8" w:color="479EFF"/>
              <w:right w:val="single" w:sz="8" w:color="auto"/>
            </w:tcBorders>
          </w:tcPr>
          <w:p>
            <w:pPr>
              <w:jc w:val="right"/>
              <w:ind w:right="658"/>
              <w:spacing w:after="0" w:line="136" w:lineRule="exact"/>
              <w:rPr>
                <w:sz w:val="20"/>
                <w:szCs w:val="20"/>
                <w:color w:val="auto"/>
              </w:rPr>
            </w:pPr>
            <w:r>
              <w:rPr>
                <w:rFonts w:ascii="Arial" w:cs="Arial" w:eastAsia="Arial" w:hAnsi="Arial"/>
                <w:sz w:val="13"/>
                <w:szCs w:val="13"/>
                <w:color w:val="auto"/>
              </w:rPr>
              <w:t>3,283</w:t>
            </w:r>
          </w:p>
        </w:tc>
        <w:tc>
          <w:tcPr>
            <w:tcW w:w="1580" w:type="dxa"/>
            <w:vAlign w:val="bottom"/>
            <w:tcBorders>
              <w:bottom w:val="single" w:sz="8" w:color="479EFF"/>
            </w:tcBorders>
          </w:tcPr>
          <w:p>
            <w:pPr>
              <w:jc w:val="right"/>
              <w:ind w:right="458"/>
              <w:spacing w:after="0" w:line="136" w:lineRule="exact"/>
              <w:rPr>
                <w:sz w:val="20"/>
                <w:szCs w:val="20"/>
                <w:color w:val="auto"/>
              </w:rPr>
            </w:pPr>
            <w:r>
              <w:rPr>
                <w:rFonts w:ascii="Arial" w:cs="Arial" w:eastAsia="Arial" w:hAnsi="Arial"/>
                <w:sz w:val="13"/>
                <w:szCs w:val="13"/>
                <w:color w:val="auto"/>
              </w:rPr>
              <w:t>3,282</w:t>
            </w:r>
          </w:p>
        </w:tc>
      </w:tr>
    </w:tbl>
    <w:p>
      <w:pPr>
        <w:spacing w:after="0" w:line="159" w:lineRule="exact"/>
        <w:rPr>
          <w:sz w:val="20"/>
          <w:szCs w:val="20"/>
          <w:color w:val="auto"/>
        </w:rPr>
      </w:pPr>
    </w:p>
    <w:p>
      <w:pPr>
        <w:ind w:left="162" w:hanging="162"/>
        <w:spacing w:after="0"/>
        <w:tabs>
          <w:tab w:leader="none" w:pos="162" w:val="left"/>
        </w:tabs>
        <w:numPr>
          <w:ilvl w:val="0"/>
          <w:numId w:val="65"/>
        </w:numPr>
        <w:rPr>
          <w:rFonts w:ascii="Arial" w:cs="Arial" w:eastAsia="Arial" w:hAnsi="Arial"/>
          <w:sz w:val="10"/>
          <w:szCs w:val="10"/>
          <w:color w:val="auto"/>
        </w:rPr>
      </w:pPr>
      <w:r>
        <w:rPr>
          <w:rFonts w:ascii="Arial" w:cs="Arial" w:eastAsia="Arial" w:hAnsi="Arial"/>
          <w:sz w:val="10"/>
          <w:szCs w:val="10"/>
          <w:color w:val="auto"/>
        </w:rPr>
        <w:t>In 2020, Mr. Kapoor was awarded restricted stock units of which approximately 65% were Performance-Vested RSUs, and the remainder were Time-Vested RSUs.</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65"/>
        </w:numPr>
        <w:rPr>
          <w:rFonts w:ascii="Arial" w:cs="Arial" w:eastAsia="Arial" w:hAnsi="Arial"/>
          <w:sz w:val="10"/>
          <w:szCs w:val="10"/>
          <w:color w:val="auto"/>
        </w:rPr>
      </w:pPr>
      <w:r>
        <w:rPr>
          <w:rFonts w:ascii="Arial" w:cs="Arial" w:eastAsia="Arial" w:hAnsi="Arial"/>
          <w:sz w:val="10"/>
          <w:szCs w:val="10"/>
          <w:color w:val="auto"/>
        </w:rPr>
        <w:t>This amount includes 5,898 Time-Vested RSUs that were granted to Mr. Nicolelli in connection with his February 2020 hire. Accordingly, Mr. Nicolelli's Time-Vested RSUs accounted for more than 50% of this total LTI award in 2020.</w:t>
      </w:r>
    </w:p>
    <w:p>
      <w:pPr>
        <w:spacing w:after="0" w:line="156" w:lineRule="exact"/>
        <w:rPr>
          <w:rFonts w:ascii="Arial" w:cs="Arial" w:eastAsia="Arial" w:hAnsi="Arial"/>
          <w:sz w:val="10"/>
          <w:szCs w:val="10"/>
          <w:color w:val="auto"/>
        </w:rPr>
      </w:pPr>
    </w:p>
    <w:p>
      <w:pPr>
        <w:ind w:left="782" w:right="420" w:hanging="393"/>
        <w:spacing w:after="0" w:line="239" w:lineRule="auto"/>
        <w:tabs>
          <w:tab w:leader="none" w:pos="782" w:val="left"/>
        </w:tabs>
        <w:numPr>
          <w:ilvl w:val="1"/>
          <w:numId w:val="65"/>
        </w:numPr>
        <w:rPr>
          <w:rFonts w:ascii="Arial" w:cs="Arial" w:eastAsia="Arial" w:hAnsi="Arial"/>
          <w:sz w:val="13"/>
          <w:szCs w:val="13"/>
          <w:color w:val="FF4000"/>
        </w:rPr>
      </w:pPr>
      <w:r>
        <w:rPr>
          <w:rFonts w:ascii="Arial" w:cs="Arial" w:eastAsia="Arial" w:hAnsi="Arial"/>
          <w:sz w:val="13"/>
          <w:szCs w:val="13"/>
          <w:color w:val="auto"/>
        </w:rPr>
        <w:t>The Time-Vested RSUs will vest in increments of 25% on each of the first four anniversaries of the grant date, subject to continuous service with the Company through the applicable vesting date.</w:t>
      </w:r>
    </w:p>
    <w:p>
      <w:pPr>
        <w:spacing w:after="0" w:line="295" w:lineRule="exact"/>
        <w:rPr>
          <w:rFonts w:ascii="Arial" w:cs="Arial" w:eastAsia="Arial" w:hAnsi="Arial"/>
          <w:sz w:val="13"/>
          <w:szCs w:val="13"/>
          <w:color w:val="FF4000"/>
        </w:rPr>
      </w:pPr>
    </w:p>
    <w:p>
      <w:pPr>
        <w:ind w:left="782"/>
        <w:spacing w:after="0"/>
        <w:rPr>
          <w:rFonts w:ascii="Arial" w:cs="Arial" w:eastAsia="Arial" w:hAnsi="Arial"/>
          <w:sz w:val="13"/>
          <w:szCs w:val="13"/>
          <w:color w:val="FF4000"/>
        </w:rPr>
      </w:pPr>
      <w:r>
        <w:rPr>
          <w:rFonts w:ascii="Arial" w:cs="Arial" w:eastAsia="Arial" w:hAnsi="Arial"/>
          <w:sz w:val="13"/>
          <w:szCs w:val="13"/>
          <w:color w:val="FF4000"/>
        </w:rPr>
        <w:t>–</w:t>
      </w:r>
      <w:r>
        <w:rPr>
          <w:rFonts w:ascii="Arial" w:cs="Arial" w:eastAsia="Arial" w:hAnsi="Arial"/>
          <w:sz w:val="12"/>
          <w:szCs w:val="12"/>
          <w:color w:val="auto"/>
        </w:rPr>
        <w:t>The Committee believes these Time-Vested RSUs provide an important role in promoting retention of our executive officers.</w:t>
      </w:r>
    </w:p>
    <w:p>
      <w:pPr>
        <w:spacing w:after="0" w:line="307" w:lineRule="exact"/>
        <w:rPr>
          <w:rFonts w:ascii="Arial" w:cs="Arial" w:eastAsia="Arial" w:hAnsi="Arial"/>
          <w:sz w:val="13"/>
          <w:szCs w:val="13"/>
          <w:color w:val="FF4000"/>
        </w:rPr>
      </w:pPr>
    </w:p>
    <w:p>
      <w:pPr>
        <w:ind w:left="782" w:hanging="393"/>
        <w:spacing w:after="0"/>
        <w:tabs>
          <w:tab w:leader="none" w:pos="782" w:val="left"/>
        </w:tabs>
        <w:numPr>
          <w:ilvl w:val="1"/>
          <w:numId w:val="65"/>
        </w:numPr>
        <w:rPr>
          <w:rFonts w:ascii="Arial" w:cs="Arial" w:eastAsia="Arial" w:hAnsi="Arial"/>
          <w:sz w:val="13"/>
          <w:szCs w:val="13"/>
          <w:color w:val="FF4000"/>
        </w:rPr>
      </w:pPr>
      <w:r>
        <w:rPr>
          <w:rFonts w:ascii="Arial" w:cs="Arial" w:eastAsia="Arial" w:hAnsi="Arial"/>
          <w:sz w:val="13"/>
          <w:szCs w:val="13"/>
          <w:color w:val="auto"/>
        </w:rPr>
        <w:t>The "Performance-Vested" portion of the 2020 RSUs ("PRSUs") are split into two types that each vest based on separate performance measures as follows:</w:t>
      </w:r>
    </w:p>
    <w:p>
      <w:pPr>
        <w:spacing w:after="0" w:line="281" w:lineRule="exact"/>
        <w:rPr>
          <w:rFonts w:ascii="Arial" w:cs="Arial" w:eastAsia="Arial" w:hAnsi="Arial"/>
          <w:sz w:val="13"/>
          <w:szCs w:val="13"/>
          <w:color w:val="FF4000"/>
        </w:rPr>
      </w:pPr>
    </w:p>
    <w:p>
      <w:pPr>
        <w:ind w:left="1162" w:right="60" w:hanging="389"/>
        <w:spacing w:after="0" w:line="241" w:lineRule="auto"/>
        <w:rPr>
          <w:rFonts w:ascii="Arial" w:cs="Arial" w:eastAsia="Arial" w:hAnsi="Arial"/>
          <w:sz w:val="13"/>
          <w:szCs w:val="13"/>
          <w:color w:val="FF4000"/>
        </w:rPr>
      </w:pPr>
      <w:r>
        <w:rPr>
          <w:rFonts w:ascii="Arial" w:cs="Arial" w:eastAsia="Arial" w:hAnsi="Arial"/>
          <w:sz w:val="13"/>
          <w:szCs w:val="13"/>
          <w:color w:val="FF4000"/>
        </w:rPr>
        <w:t>–</w:t>
      </w:r>
      <w:r>
        <w:rPr>
          <w:rFonts w:ascii="Arial" w:cs="Arial" w:eastAsia="Arial" w:hAnsi="Arial"/>
          <w:sz w:val="13"/>
          <w:szCs w:val="13"/>
          <w:b w:val="1"/>
          <w:bCs w:val="1"/>
          <w:color w:val="auto"/>
        </w:rPr>
        <w:t xml:space="preserve">Revenue-Linked PRSUs: </w:t>
      </w:r>
      <w:r>
        <w:rPr>
          <w:rFonts w:ascii="Arial" w:cs="Arial" w:eastAsia="Arial" w:hAnsi="Arial"/>
          <w:sz w:val="13"/>
          <w:szCs w:val="13"/>
          <w:color w:val="auto"/>
        </w:rPr>
        <w:t>50% of these performance-based restricted stock unit awards will cliff-vest on December 31 of the third fiscal year in the performance period, subject to</w:t>
      </w:r>
      <w:r>
        <w:rPr>
          <w:rFonts w:ascii="Arial" w:cs="Arial" w:eastAsia="Arial" w:hAnsi="Arial"/>
          <w:sz w:val="13"/>
          <w:szCs w:val="13"/>
          <w:b w:val="1"/>
          <w:bCs w:val="1"/>
          <w:color w:val="auto"/>
        </w:rPr>
        <w:t xml:space="preserve"> </w:t>
      </w:r>
      <w:r>
        <w:rPr>
          <w:rFonts w:ascii="Arial" w:cs="Arial" w:eastAsia="Arial" w:hAnsi="Arial"/>
          <w:sz w:val="13"/>
          <w:szCs w:val="13"/>
          <w:color w:val="auto"/>
        </w:rPr>
        <w:t>achievement of threshold Company revenues against an aggregate revenue target over the grant's three-year performance period of January 1, 2020 to December 31, 2022 and continuous employment through December 31, 2022 — we call these awards "Revenue-Linked PRSUs." The ultimate amount of Revenue-Linked PRSUs that a recipient earns may be up to 200% of the target award of Revenue-Linked RSUs. To the extent the Company's revenue falls in between the outlined target achievements, the percentage of Revenue-Based RSUs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5762625</wp:posOffset>
            </wp:positionH>
            <wp:positionV relativeFrom="paragraph">
              <wp:posOffset>193040</wp:posOffset>
            </wp:positionV>
            <wp:extent cx="1408430" cy="3333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0862"/>
        <w:spacing w:after="0"/>
        <w:rPr>
          <w:sz w:val="20"/>
          <w:szCs w:val="20"/>
          <w:color w:val="auto"/>
        </w:rPr>
      </w:pPr>
      <w:r>
        <w:rPr>
          <w:rFonts w:ascii="Arial" w:cs="Arial" w:eastAsia="Arial" w:hAnsi="Arial"/>
          <w:sz w:val="13"/>
          <w:szCs w:val="13"/>
          <w:color w:val="FFFFFE"/>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177405" cy="190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2"/>
          </w:cols>
          <w:pgMar w:left="298" w:top="142" w:right="299" w:bottom="1440" w:gutter="0" w:footer="0" w:header="0"/>
        </w:sectPr>
      </w:pPr>
    </w:p>
    <w:bookmarkStart w:id="82" w:name="page83"/>
    <w:bookmarkEnd w:id="82"/>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will be determined based on straight line interpolation. The chart below sets forth the revenue target achievement thresholds and corresponding funding percentage:</w:t>
      </w:r>
    </w:p>
    <w:p>
      <w:pPr>
        <w:spacing w:after="0" w:line="141" w:lineRule="exact"/>
        <w:rPr>
          <w:sz w:val="20"/>
          <w:szCs w:val="20"/>
          <w:color w:val="auto"/>
        </w:rPr>
      </w:pPr>
    </w:p>
    <w:tbl>
      <w:tblPr>
        <w:tblLayout w:type="fixed"/>
        <w:tblInd w:w="1920" w:type="dxa"/>
        <w:tblCellMar>
          <w:top w:w="0" w:type="dxa"/>
          <w:left w:w="0" w:type="dxa"/>
          <w:bottom w:w="0" w:type="dxa"/>
          <w:right w:w="0" w:type="dxa"/>
        </w:tblCellMar>
      </w:tblPr>
      <w:tr>
        <w:trPr>
          <w:trHeight w:val="134"/>
        </w:trPr>
        <w:tc>
          <w:tcPr>
            <w:tcW w:w="3940" w:type="dxa"/>
            <w:vAlign w:val="bottom"/>
            <w:tcBorders>
              <w:bottom w:val="single" w:sz="8" w:color="479EFF"/>
            </w:tcBorders>
          </w:tcPr>
          <w:p>
            <w:pPr>
              <w:jc w:val="center"/>
              <w:ind w:right="1020"/>
              <w:spacing w:after="0"/>
              <w:rPr>
                <w:sz w:val="20"/>
                <w:szCs w:val="20"/>
                <w:color w:val="auto"/>
              </w:rPr>
            </w:pPr>
            <w:r>
              <w:rPr>
                <w:rFonts w:ascii="Arial" w:cs="Arial" w:eastAsia="Arial" w:hAnsi="Arial"/>
                <w:sz w:val="10"/>
                <w:szCs w:val="10"/>
                <w:b w:val="1"/>
                <w:bCs w:val="1"/>
                <w:color w:val="479EFF"/>
              </w:rPr>
              <w:t>Revenue Target Achievement</w:t>
            </w:r>
          </w:p>
        </w:tc>
        <w:tc>
          <w:tcPr>
            <w:tcW w:w="3400" w:type="dxa"/>
            <w:vAlign w:val="bottom"/>
            <w:tcBorders>
              <w:bottom w:val="single" w:sz="8" w:color="479EFF"/>
            </w:tcBorders>
          </w:tcPr>
          <w:p>
            <w:pPr>
              <w:ind w:left="1460"/>
              <w:spacing w:after="0"/>
              <w:rPr>
                <w:sz w:val="20"/>
                <w:szCs w:val="20"/>
                <w:color w:val="auto"/>
              </w:rPr>
            </w:pPr>
            <w:r>
              <w:rPr>
                <w:rFonts w:ascii="Arial" w:cs="Arial" w:eastAsia="Arial" w:hAnsi="Arial"/>
                <w:sz w:val="10"/>
                <w:szCs w:val="10"/>
                <w:b w:val="1"/>
                <w:bCs w:val="1"/>
                <w:color w:val="479EFF"/>
              </w:rPr>
              <w:t>Funding Percentage</w:t>
            </w:r>
          </w:p>
        </w:tc>
      </w:tr>
      <w:tr>
        <w:trPr>
          <w:trHeight w:val="146"/>
        </w:trPr>
        <w:tc>
          <w:tcPr>
            <w:tcW w:w="3940" w:type="dxa"/>
            <w:vAlign w:val="bottom"/>
            <w:tcBorders>
              <w:bottom w:val="single" w:sz="8" w:color="auto"/>
              <w:right w:val="single" w:sz="8" w:color="auto"/>
            </w:tcBorders>
          </w:tcPr>
          <w:p>
            <w:pPr>
              <w:jc w:val="center"/>
              <w:ind w:right="1020"/>
              <w:spacing w:after="0" w:line="146" w:lineRule="exact"/>
              <w:rPr>
                <w:sz w:val="20"/>
                <w:szCs w:val="20"/>
                <w:color w:val="auto"/>
              </w:rPr>
            </w:pPr>
            <w:r>
              <w:rPr>
                <w:rFonts w:ascii="Arial" w:cs="Arial" w:eastAsia="Arial" w:hAnsi="Arial"/>
                <w:sz w:val="13"/>
                <w:szCs w:val="13"/>
                <w:b w:val="1"/>
                <w:bCs w:val="1"/>
                <w:color w:val="auto"/>
                <w:w w:val="96"/>
              </w:rPr>
              <w:t>110% or more</w:t>
            </w:r>
          </w:p>
        </w:tc>
        <w:tc>
          <w:tcPr>
            <w:tcW w:w="3400" w:type="dxa"/>
            <w:vAlign w:val="bottom"/>
            <w:tcBorders>
              <w:bottom w:val="single" w:sz="8" w:color="auto"/>
            </w:tcBorders>
          </w:tcPr>
          <w:p>
            <w:pPr>
              <w:jc w:val="center"/>
              <w:ind w:left="460"/>
              <w:spacing w:after="0" w:line="146" w:lineRule="exact"/>
              <w:rPr>
                <w:sz w:val="20"/>
                <w:szCs w:val="20"/>
                <w:color w:val="auto"/>
              </w:rPr>
            </w:pPr>
            <w:r>
              <w:rPr>
                <w:rFonts w:ascii="Arial" w:cs="Arial" w:eastAsia="Arial" w:hAnsi="Arial"/>
                <w:sz w:val="13"/>
                <w:szCs w:val="13"/>
                <w:color w:val="auto"/>
                <w:w w:val="96"/>
              </w:rPr>
              <w:t>200%</w:t>
            </w:r>
          </w:p>
        </w:tc>
      </w:tr>
      <w:tr>
        <w:trPr>
          <w:trHeight w:val="136"/>
        </w:trPr>
        <w:tc>
          <w:tcPr>
            <w:tcW w:w="3940" w:type="dxa"/>
            <w:vAlign w:val="bottom"/>
            <w:tcBorders>
              <w:bottom w:val="single" w:sz="8" w:color="auto"/>
              <w:right w:val="single" w:sz="8" w:color="auto"/>
            </w:tcBorders>
          </w:tcPr>
          <w:p>
            <w:pPr>
              <w:jc w:val="center"/>
              <w:ind w:right="1020"/>
              <w:spacing w:after="0" w:line="136" w:lineRule="exact"/>
              <w:rPr>
                <w:sz w:val="20"/>
                <w:szCs w:val="20"/>
                <w:color w:val="auto"/>
              </w:rPr>
            </w:pPr>
            <w:r>
              <w:rPr>
                <w:rFonts w:ascii="Arial" w:cs="Arial" w:eastAsia="Arial" w:hAnsi="Arial"/>
                <w:sz w:val="13"/>
                <w:szCs w:val="13"/>
                <w:b w:val="1"/>
                <w:bCs w:val="1"/>
                <w:color w:val="auto"/>
                <w:w w:val="98"/>
              </w:rPr>
              <w:t>98% to 102%</w:t>
            </w:r>
          </w:p>
        </w:tc>
        <w:tc>
          <w:tcPr>
            <w:tcW w:w="3400" w:type="dxa"/>
            <w:vAlign w:val="bottom"/>
            <w:tcBorders>
              <w:bottom w:val="single" w:sz="8" w:color="auto"/>
            </w:tcBorders>
          </w:tcPr>
          <w:p>
            <w:pPr>
              <w:jc w:val="center"/>
              <w:ind w:left="460"/>
              <w:spacing w:after="0" w:line="136" w:lineRule="exact"/>
              <w:rPr>
                <w:sz w:val="20"/>
                <w:szCs w:val="20"/>
                <w:color w:val="auto"/>
              </w:rPr>
            </w:pPr>
            <w:r>
              <w:rPr>
                <w:rFonts w:ascii="Arial" w:cs="Arial" w:eastAsia="Arial" w:hAnsi="Arial"/>
                <w:sz w:val="13"/>
                <w:szCs w:val="13"/>
                <w:color w:val="auto"/>
                <w:w w:val="96"/>
              </w:rPr>
              <w:t>100%</w:t>
            </w:r>
          </w:p>
        </w:tc>
      </w:tr>
      <w:tr>
        <w:trPr>
          <w:trHeight w:val="145"/>
        </w:trPr>
        <w:tc>
          <w:tcPr>
            <w:tcW w:w="3940" w:type="dxa"/>
            <w:vAlign w:val="bottom"/>
            <w:tcBorders>
              <w:bottom w:val="single" w:sz="8" w:color="479EFF"/>
              <w:right w:val="single" w:sz="8" w:color="auto"/>
            </w:tcBorders>
          </w:tcPr>
          <w:p>
            <w:pPr>
              <w:jc w:val="center"/>
              <w:ind w:right="1020"/>
              <w:spacing w:after="0" w:line="136" w:lineRule="exact"/>
              <w:rPr>
                <w:sz w:val="20"/>
                <w:szCs w:val="20"/>
                <w:color w:val="auto"/>
              </w:rPr>
            </w:pPr>
            <w:r>
              <w:rPr>
                <w:rFonts w:ascii="Arial" w:cs="Arial" w:eastAsia="Arial" w:hAnsi="Arial"/>
                <w:sz w:val="13"/>
                <w:szCs w:val="13"/>
                <w:b w:val="1"/>
                <w:bCs w:val="1"/>
                <w:color w:val="auto"/>
                <w:w w:val="97"/>
              </w:rPr>
              <w:t>90% or less</w:t>
            </w:r>
          </w:p>
        </w:tc>
        <w:tc>
          <w:tcPr>
            <w:tcW w:w="3400" w:type="dxa"/>
            <w:vAlign w:val="bottom"/>
            <w:tcBorders>
              <w:bottom w:val="single" w:sz="8" w:color="479EFF"/>
            </w:tcBorders>
          </w:tcPr>
          <w:p>
            <w:pPr>
              <w:jc w:val="center"/>
              <w:ind w:left="480"/>
              <w:spacing w:after="0" w:line="136" w:lineRule="exact"/>
              <w:rPr>
                <w:sz w:val="20"/>
                <w:szCs w:val="20"/>
                <w:color w:val="auto"/>
              </w:rPr>
            </w:pPr>
            <w:r>
              <w:rPr>
                <w:rFonts w:ascii="Arial" w:cs="Arial" w:eastAsia="Arial" w:hAnsi="Arial"/>
                <w:sz w:val="13"/>
                <w:szCs w:val="13"/>
                <w:color w:val="auto"/>
                <w:w w:val="95"/>
              </w:rPr>
              <w:t>0%</w:t>
            </w:r>
          </w:p>
        </w:tc>
      </w:tr>
    </w:tbl>
    <w:p>
      <w:pPr>
        <w:spacing w:after="0" w:line="142" w:lineRule="exact"/>
        <w:rPr>
          <w:sz w:val="20"/>
          <w:szCs w:val="20"/>
          <w:color w:val="auto"/>
        </w:rPr>
      </w:pPr>
    </w:p>
    <w:p>
      <w:pPr>
        <w:ind w:left="1160" w:hanging="389"/>
        <w:spacing w:after="0" w:line="238" w:lineRule="auto"/>
        <w:rPr>
          <w:sz w:val="20"/>
          <w:szCs w:val="20"/>
          <w:color w:val="auto"/>
        </w:rPr>
      </w:pPr>
      <w:r>
        <w:rPr>
          <w:rFonts w:ascii="Arial" w:cs="Arial" w:eastAsia="Arial" w:hAnsi="Arial"/>
          <w:sz w:val="13"/>
          <w:szCs w:val="13"/>
          <w:color w:val="FF4000"/>
        </w:rPr>
        <w:t>–</w:t>
      </w:r>
      <w:r>
        <w:rPr>
          <w:rFonts w:ascii="Arial" w:cs="Arial" w:eastAsia="Arial" w:hAnsi="Arial"/>
          <w:sz w:val="13"/>
          <w:szCs w:val="13"/>
          <w:b w:val="1"/>
          <w:bCs w:val="1"/>
          <w:color w:val="auto"/>
        </w:rPr>
        <w:t xml:space="preserve">Relative TSR-Linked PRSUs: </w:t>
      </w:r>
      <w:r>
        <w:rPr>
          <w:rFonts w:ascii="Arial" w:cs="Arial" w:eastAsia="Arial" w:hAnsi="Arial"/>
          <w:sz w:val="13"/>
          <w:szCs w:val="13"/>
          <w:color w:val="auto"/>
        </w:rPr>
        <w:t>The remaining 50% of the performance-based restricted stock unit awards cliff-vest on December 31 of the third fiscal year in the performance</w:t>
      </w:r>
      <w:r>
        <w:rPr>
          <w:rFonts w:ascii="Arial" w:cs="Arial" w:eastAsia="Arial" w:hAnsi="Arial"/>
          <w:sz w:val="13"/>
          <w:szCs w:val="13"/>
          <w:b w:val="1"/>
          <w:bCs w:val="1"/>
          <w:color w:val="auto"/>
        </w:rPr>
        <w:t xml:space="preserve"> </w:t>
      </w:r>
      <w:r>
        <w:rPr>
          <w:rFonts w:ascii="Arial" w:cs="Arial" w:eastAsia="Arial" w:hAnsi="Arial"/>
          <w:sz w:val="13"/>
          <w:szCs w:val="13"/>
          <w:color w:val="auto"/>
        </w:rPr>
        <w:t>period, based on the achievement of relative total stockholder return performance of the Company against a peer group over the grant's three-year performance period of January 1, 2020 to December 31, 2022 and continuous employment through December 31, 2022 — we call these awards "Relative TSR-Linked PRSUs." The Company's TSR for the TSR performance period will be computed and then compared to the TSR of the companies in the TSR peer group, which is comprised of the public companies traded on either the NYSE or NASDAQ stock markets in our 8-digit Global Industry Classification Standard sub-industry group. This comparator set is more appropriate than the compensation peer group for this purpose as it provides a more robust comparison of our performance to the marketplace by the inclusion of more companies and eliminating size as a selection criteria, which is more relevant for compensation than performance comparison. For the Relative TSR-Linked PRSUs granted in 2020, the Company included a negative TSR cap. Under the negative TSR cap, if the total stockholder return is negative over the course of the three year performance period, no named executive officer may receive greater than 100% funding of the TSR-Linked PRSUs.</w:t>
      </w:r>
    </w:p>
    <w:p>
      <w:pPr>
        <w:spacing w:after="0" w:line="296" w:lineRule="exact"/>
        <w:rPr>
          <w:sz w:val="20"/>
          <w:szCs w:val="20"/>
          <w:color w:val="auto"/>
        </w:rPr>
      </w:pPr>
    </w:p>
    <w:p>
      <w:pPr>
        <w:ind w:left="1160" w:right="460"/>
        <w:spacing w:after="0" w:line="239" w:lineRule="auto"/>
        <w:rPr>
          <w:sz w:val="20"/>
          <w:szCs w:val="20"/>
          <w:color w:val="auto"/>
        </w:rPr>
      </w:pPr>
      <w:r>
        <w:rPr>
          <w:rFonts w:ascii="Arial" w:cs="Arial" w:eastAsia="Arial" w:hAnsi="Arial"/>
          <w:sz w:val="13"/>
          <w:szCs w:val="13"/>
          <w:color w:val="auto"/>
        </w:rPr>
        <w:t>The percentage of Relative TSR-Linked PRSUs earned will be determined based on straight-line interpolation to the extent the Company's TSR falls in between the 20th and 80th percentiles, as per the chart below:</w:t>
      </w:r>
    </w:p>
    <w:p>
      <w:pPr>
        <w:spacing w:after="0" w:line="139" w:lineRule="exact"/>
        <w:rPr>
          <w:sz w:val="20"/>
          <w:szCs w:val="20"/>
          <w:color w:val="auto"/>
        </w:rPr>
      </w:pPr>
    </w:p>
    <w:tbl>
      <w:tblPr>
        <w:tblLayout w:type="fixed"/>
        <w:tblInd w:w="1920" w:type="dxa"/>
        <w:tblCellMar>
          <w:top w:w="0" w:type="dxa"/>
          <w:left w:w="0" w:type="dxa"/>
          <w:bottom w:w="0" w:type="dxa"/>
          <w:right w:w="0" w:type="dxa"/>
        </w:tblCellMar>
      </w:tblPr>
      <w:tr>
        <w:trPr>
          <w:trHeight w:val="134"/>
        </w:trPr>
        <w:tc>
          <w:tcPr>
            <w:tcW w:w="2680" w:type="dxa"/>
            <w:vAlign w:val="bottom"/>
            <w:tcBorders>
              <w:bottom w:val="single" w:sz="8" w:color="479EFF"/>
            </w:tcBorders>
          </w:tcPr>
          <w:p>
            <w:pPr>
              <w:jc w:val="center"/>
              <w:ind w:right="179"/>
              <w:spacing w:after="0"/>
              <w:rPr>
                <w:sz w:val="20"/>
                <w:szCs w:val="20"/>
                <w:color w:val="auto"/>
              </w:rPr>
            </w:pPr>
            <w:r>
              <w:rPr>
                <w:rFonts w:ascii="Arial" w:cs="Arial" w:eastAsia="Arial" w:hAnsi="Arial"/>
                <w:sz w:val="10"/>
                <w:szCs w:val="10"/>
                <w:b w:val="1"/>
                <w:bCs w:val="1"/>
                <w:color w:val="479EFF"/>
              </w:rPr>
              <w:t>TSR Peer Group Percentile</w:t>
            </w:r>
          </w:p>
        </w:tc>
        <w:tc>
          <w:tcPr>
            <w:tcW w:w="4660" w:type="dxa"/>
            <w:vAlign w:val="bottom"/>
            <w:tcBorders>
              <w:bottom w:val="single" w:sz="8" w:color="479EFF"/>
            </w:tcBorders>
          </w:tcPr>
          <w:p>
            <w:pPr>
              <w:ind w:left="1140"/>
              <w:spacing w:after="0"/>
              <w:rPr>
                <w:sz w:val="20"/>
                <w:szCs w:val="20"/>
                <w:color w:val="auto"/>
              </w:rPr>
            </w:pPr>
            <w:r>
              <w:rPr>
                <w:rFonts w:ascii="Arial" w:cs="Arial" w:eastAsia="Arial" w:hAnsi="Arial"/>
                <w:sz w:val="10"/>
                <w:szCs w:val="10"/>
                <w:b w:val="1"/>
                <w:bCs w:val="1"/>
                <w:color w:val="479EFF"/>
              </w:rPr>
              <w:t>Percentage of Relative TSR-Linked PRSUs Earned</w:t>
            </w:r>
          </w:p>
        </w:tc>
      </w:tr>
      <w:tr>
        <w:trPr>
          <w:trHeight w:val="146"/>
        </w:trPr>
        <w:tc>
          <w:tcPr>
            <w:tcW w:w="2680" w:type="dxa"/>
            <w:vAlign w:val="bottom"/>
            <w:tcBorders>
              <w:bottom w:val="single" w:sz="8" w:color="auto"/>
              <w:right w:val="single" w:sz="8" w:color="auto"/>
            </w:tcBorders>
          </w:tcPr>
          <w:p>
            <w:pPr>
              <w:jc w:val="center"/>
              <w:ind w:right="179"/>
              <w:spacing w:after="0" w:line="146" w:lineRule="exact"/>
              <w:rPr>
                <w:sz w:val="20"/>
                <w:szCs w:val="20"/>
                <w:color w:val="auto"/>
              </w:rPr>
            </w:pPr>
            <w:r>
              <w:rPr>
                <w:rFonts w:ascii="Arial" w:cs="Arial" w:eastAsia="Arial" w:hAnsi="Arial"/>
                <w:sz w:val="13"/>
                <w:szCs w:val="13"/>
                <w:b w:val="1"/>
                <w:bCs w:val="1"/>
                <w:color w:val="auto"/>
                <w:w w:val="98"/>
              </w:rPr>
              <w:t>80.0 or more</w:t>
            </w:r>
          </w:p>
        </w:tc>
        <w:tc>
          <w:tcPr>
            <w:tcW w:w="4660" w:type="dxa"/>
            <w:vAlign w:val="bottom"/>
            <w:tcBorders>
              <w:bottom w:val="single" w:sz="8" w:color="auto"/>
            </w:tcBorders>
          </w:tcPr>
          <w:p>
            <w:pPr>
              <w:jc w:val="center"/>
              <w:ind w:left="39"/>
              <w:spacing w:after="0" w:line="146" w:lineRule="exact"/>
              <w:rPr>
                <w:sz w:val="20"/>
                <w:szCs w:val="20"/>
                <w:color w:val="auto"/>
              </w:rPr>
            </w:pPr>
            <w:r>
              <w:rPr>
                <w:rFonts w:ascii="Arial" w:cs="Arial" w:eastAsia="Arial" w:hAnsi="Arial"/>
                <w:sz w:val="13"/>
                <w:szCs w:val="13"/>
                <w:color w:val="auto"/>
                <w:w w:val="96"/>
              </w:rPr>
              <w:t>200%</w:t>
            </w:r>
          </w:p>
        </w:tc>
      </w:tr>
      <w:tr>
        <w:trPr>
          <w:trHeight w:val="136"/>
        </w:trPr>
        <w:tc>
          <w:tcPr>
            <w:tcW w:w="2680" w:type="dxa"/>
            <w:vAlign w:val="bottom"/>
            <w:tcBorders>
              <w:bottom w:val="single" w:sz="8" w:color="auto"/>
              <w:right w:val="single" w:sz="8" w:color="auto"/>
            </w:tcBorders>
          </w:tcPr>
          <w:p>
            <w:pPr>
              <w:jc w:val="center"/>
              <w:ind w:right="179"/>
              <w:spacing w:after="0" w:line="136" w:lineRule="exact"/>
              <w:rPr>
                <w:sz w:val="20"/>
                <w:szCs w:val="20"/>
                <w:color w:val="auto"/>
              </w:rPr>
            </w:pPr>
            <w:r>
              <w:rPr>
                <w:rFonts w:ascii="Arial" w:cs="Arial" w:eastAsia="Arial" w:hAnsi="Arial"/>
                <w:sz w:val="13"/>
                <w:szCs w:val="13"/>
                <w:b w:val="1"/>
                <w:bCs w:val="1"/>
                <w:color w:val="auto"/>
                <w:w w:val="94"/>
              </w:rPr>
              <w:t>65.0</w:t>
            </w:r>
          </w:p>
        </w:tc>
        <w:tc>
          <w:tcPr>
            <w:tcW w:w="4660" w:type="dxa"/>
            <w:vAlign w:val="bottom"/>
            <w:tcBorders>
              <w:bottom w:val="single" w:sz="8" w:color="auto"/>
            </w:tcBorders>
          </w:tcPr>
          <w:p>
            <w:pPr>
              <w:jc w:val="center"/>
              <w:ind w:left="39"/>
              <w:spacing w:after="0" w:line="136" w:lineRule="exact"/>
              <w:rPr>
                <w:sz w:val="20"/>
                <w:szCs w:val="20"/>
                <w:color w:val="auto"/>
              </w:rPr>
            </w:pPr>
            <w:r>
              <w:rPr>
                <w:rFonts w:ascii="Arial" w:cs="Arial" w:eastAsia="Arial" w:hAnsi="Arial"/>
                <w:sz w:val="13"/>
                <w:szCs w:val="13"/>
                <w:color w:val="auto"/>
                <w:w w:val="96"/>
              </w:rPr>
              <w:t>150%</w:t>
            </w:r>
          </w:p>
        </w:tc>
      </w:tr>
      <w:tr>
        <w:trPr>
          <w:trHeight w:val="136"/>
        </w:trPr>
        <w:tc>
          <w:tcPr>
            <w:tcW w:w="2680" w:type="dxa"/>
            <w:vAlign w:val="bottom"/>
            <w:tcBorders>
              <w:bottom w:val="single" w:sz="8" w:color="auto"/>
              <w:right w:val="single" w:sz="8" w:color="auto"/>
            </w:tcBorders>
          </w:tcPr>
          <w:p>
            <w:pPr>
              <w:jc w:val="center"/>
              <w:ind w:right="179"/>
              <w:spacing w:after="0" w:line="136" w:lineRule="exact"/>
              <w:rPr>
                <w:sz w:val="20"/>
                <w:szCs w:val="20"/>
                <w:color w:val="auto"/>
              </w:rPr>
            </w:pPr>
            <w:r>
              <w:rPr>
                <w:rFonts w:ascii="Arial" w:cs="Arial" w:eastAsia="Arial" w:hAnsi="Arial"/>
                <w:sz w:val="13"/>
                <w:szCs w:val="13"/>
                <w:b w:val="1"/>
                <w:bCs w:val="1"/>
                <w:color w:val="auto"/>
                <w:w w:val="94"/>
              </w:rPr>
              <w:t>50.0</w:t>
            </w:r>
          </w:p>
        </w:tc>
        <w:tc>
          <w:tcPr>
            <w:tcW w:w="4660" w:type="dxa"/>
            <w:vAlign w:val="bottom"/>
            <w:tcBorders>
              <w:bottom w:val="single" w:sz="8" w:color="auto"/>
            </w:tcBorders>
          </w:tcPr>
          <w:p>
            <w:pPr>
              <w:jc w:val="center"/>
              <w:ind w:left="39"/>
              <w:spacing w:after="0" w:line="136" w:lineRule="exact"/>
              <w:rPr>
                <w:sz w:val="20"/>
                <w:szCs w:val="20"/>
                <w:color w:val="auto"/>
              </w:rPr>
            </w:pPr>
            <w:r>
              <w:rPr>
                <w:rFonts w:ascii="Arial" w:cs="Arial" w:eastAsia="Arial" w:hAnsi="Arial"/>
                <w:sz w:val="13"/>
                <w:szCs w:val="13"/>
                <w:color w:val="auto"/>
                <w:w w:val="96"/>
              </w:rPr>
              <w:t>100%</w:t>
            </w:r>
          </w:p>
        </w:tc>
      </w:tr>
      <w:tr>
        <w:trPr>
          <w:trHeight w:val="136"/>
        </w:trPr>
        <w:tc>
          <w:tcPr>
            <w:tcW w:w="2680" w:type="dxa"/>
            <w:vAlign w:val="bottom"/>
            <w:tcBorders>
              <w:bottom w:val="single" w:sz="8" w:color="auto"/>
              <w:right w:val="single" w:sz="8" w:color="auto"/>
            </w:tcBorders>
          </w:tcPr>
          <w:p>
            <w:pPr>
              <w:jc w:val="center"/>
              <w:ind w:right="179"/>
              <w:spacing w:after="0" w:line="136" w:lineRule="exact"/>
              <w:rPr>
                <w:sz w:val="20"/>
                <w:szCs w:val="20"/>
                <w:color w:val="auto"/>
              </w:rPr>
            </w:pPr>
            <w:r>
              <w:rPr>
                <w:rFonts w:ascii="Arial" w:cs="Arial" w:eastAsia="Arial" w:hAnsi="Arial"/>
                <w:sz w:val="13"/>
                <w:szCs w:val="13"/>
                <w:b w:val="1"/>
                <w:bCs w:val="1"/>
                <w:color w:val="auto"/>
                <w:w w:val="94"/>
              </w:rPr>
              <w:t>35.0</w:t>
            </w:r>
          </w:p>
        </w:tc>
        <w:tc>
          <w:tcPr>
            <w:tcW w:w="4660" w:type="dxa"/>
            <w:vAlign w:val="bottom"/>
            <w:tcBorders>
              <w:bottom w:val="single" w:sz="8" w:color="auto"/>
            </w:tcBorders>
          </w:tcPr>
          <w:p>
            <w:pPr>
              <w:jc w:val="center"/>
              <w:ind w:left="39"/>
              <w:spacing w:after="0" w:line="136" w:lineRule="exact"/>
              <w:rPr>
                <w:sz w:val="20"/>
                <w:szCs w:val="20"/>
                <w:color w:val="auto"/>
              </w:rPr>
            </w:pPr>
            <w:r>
              <w:rPr>
                <w:rFonts w:ascii="Arial" w:cs="Arial" w:eastAsia="Arial" w:hAnsi="Arial"/>
                <w:sz w:val="13"/>
                <w:szCs w:val="13"/>
                <w:color w:val="auto"/>
                <w:w w:val="92"/>
              </w:rPr>
              <w:t>50%</w:t>
            </w:r>
          </w:p>
        </w:tc>
      </w:tr>
      <w:tr>
        <w:trPr>
          <w:trHeight w:val="145"/>
        </w:trPr>
        <w:tc>
          <w:tcPr>
            <w:tcW w:w="2680" w:type="dxa"/>
            <w:vAlign w:val="bottom"/>
            <w:tcBorders>
              <w:bottom w:val="single" w:sz="8" w:color="479EFF"/>
              <w:right w:val="single" w:sz="8" w:color="auto"/>
            </w:tcBorders>
          </w:tcPr>
          <w:p>
            <w:pPr>
              <w:jc w:val="center"/>
              <w:ind w:right="179"/>
              <w:spacing w:after="0" w:line="136" w:lineRule="exact"/>
              <w:rPr>
                <w:sz w:val="20"/>
                <w:szCs w:val="20"/>
                <w:color w:val="auto"/>
              </w:rPr>
            </w:pPr>
            <w:r>
              <w:rPr>
                <w:rFonts w:ascii="Arial" w:cs="Arial" w:eastAsia="Arial" w:hAnsi="Arial"/>
                <w:sz w:val="13"/>
                <w:szCs w:val="13"/>
                <w:b w:val="1"/>
                <w:bCs w:val="1"/>
                <w:color w:val="auto"/>
                <w:w w:val="95"/>
              </w:rPr>
              <w:t>20.0 or less</w:t>
            </w:r>
          </w:p>
        </w:tc>
        <w:tc>
          <w:tcPr>
            <w:tcW w:w="4660" w:type="dxa"/>
            <w:vAlign w:val="bottom"/>
            <w:tcBorders>
              <w:bottom w:val="single" w:sz="8" w:color="479EFF"/>
            </w:tcBorders>
          </w:tcPr>
          <w:p>
            <w:pPr>
              <w:jc w:val="center"/>
              <w:ind w:left="19"/>
              <w:spacing w:after="0" w:line="136" w:lineRule="exact"/>
              <w:rPr>
                <w:sz w:val="20"/>
                <w:szCs w:val="20"/>
                <w:color w:val="auto"/>
              </w:rPr>
            </w:pPr>
            <w:r>
              <w:rPr>
                <w:rFonts w:ascii="Arial" w:cs="Arial" w:eastAsia="Arial" w:hAnsi="Arial"/>
                <w:sz w:val="13"/>
                <w:szCs w:val="13"/>
                <w:color w:val="auto"/>
                <w:w w:val="95"/>
              </w:rPr>
              <w:t>0%</w:t>
            </w:r>
          </w:p>
        </w:tc>
      </w:tr>
    </w:tbl>
    <w:p>
      <w:pPr>
        <w:spacing w:after="0" w:line="158" w:lineRule="exact"/>
        <w:rPr>
          <w:sz w:val="20"/>
          <w:szCs w:val="20"/>
          <w:color w:val="auto"/>
        </w:rPr>
      </w:pPr>
    </w:p>
    <w:p>
      <w:pPr>
        <w:ind w:left="780"/>
        <w:spacing w:after="0"/>
        <w:rPr>
          <w:sz w:val="20"/>
          <w:szCs w:val="20"/>
          <w:color w:val="auto"/>
        </w:rPr>
      </w:pPr>
      <w:r>
        <w:rPr>
          <w:rFonts w:ascii="Arial" w:cs="Arial" w:eastAsia="Arial" w:hAnsi="Arial"/>
          <w:sz w:val="13"/>
          <w:szCs w:val="13"/>
          <w:color w:val="FF4000"/>
        </w:rPr>
        <w:t>–</w:t>
      </w:r>
      <w:r>
        <w:rPr>
          <w:rFonts w:ascii="Arial" w:cs="Arial" w:eastAsia="Arial" w:hAnsi="Arial"/>
          <w:sz w:val="12"/>
          <w:szCs w:val="12"/>
          <w:color w:val="auto"/>
        </w:rPr>
        <w:t>The Committee believes the PRSUs focus our executives on key drivers of our Company's business that will ultimately lead to creation of additional stockholder value.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Payout of Awards Granted in Prior Fiscal Years</w:t>
      </w:r>
    </w:p>
    <w:p>
      <w:pPr>
        <w:spacing w:after="0" w:line="168" w:lineRule="exact"/>
        <w:rPr>
          <w:sz w:val="20"/>
          <w:szCs w:val="20"/>
          <w:color w:val="auto"/>
        </w:rPr>
      </w:pPr>
    </w:p>
    <w:p>
      <w:pPr>
        <w:ind w:right="60"/>
        <w:spacing w:after="0" w:line="237" w:lineRule="auto"/>
        <w:rPr>
          <w:sz w:val="20"/>
          <w:szCs w:val="20"/>
          <w:color w:val="auto"/>
        </w:rPr>
      </w:pPr>
      <w:r>
        <w:rPr>
          <w:rFonts w:ascii="Arial" w:cs="Arial" w:eastAsia="Arial" w:hAnsi="Arial"/>
          <w:sz w:val="13"/>
          <w:szCs w:val="13"/>
          <w:color w:val="auto"/>
        </w:rPr>
        <w:t>This was the third and final performance year for the 2018 performance-based restricted stock units. We achieved 99.89% of the revenue target for the revenue-linked restricted stock units resulting in 100% of target funding of those grants. The Company's TSR performance was at the 46.51 percentile amongst its peer group, resulting in the executives earning 88.37% of the 2018 relative TSR-linked restricted stock units pursuant to the terms of the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1408430" cy="3333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83" w:name="page84"/>
    <w:bookmarkEnd w:id="8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840"/>
        <w:spacing w:after="0"/>
        <w:rPr>
          <w:sz w:val="20"/>
          <w:szCs w:val="20"/>
          <w:color w:val="auto"/>
        </w:rPr>
      </w:pPr>
      <w:r>
        <w:rPr>
          <w:rFonts w:ascii="Arial" w:cs="Arial" w:eastAsia="Arial" w:hAnsi="Arial"/>
          <w:sz w:val="10"/>
          <w:szCs w:val="10"/>
          <w:b w:val="1"/>
          <w:bCs w:val="1"/>
          <w:color w:val="CCD9D9"/>
        </w:rPr>
        <w:t>EXECUTIVE COMPENSATION</w:t>
      </w:r>
    </w:p>
    <w:p>
      <w:pPr>
        <w:spacing w:after="0" w:line="168"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grant. No adjustments were made to the 2018 performance-based restricted stock units — or the outstanding 2019 and 2020 performance-based restricted stock units — to account for the impact of the COVID-19 pandemic in the 2020 fiscal year.</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New Hire Awards for Mr. Nicolelli</w:t>
      </w:r>
    </w:p>
    <w:p>
      <w:pPr>
        <w:spacing w:after="0" w:line="168" w:lineRule="exact"/>
        <w:rPr>
          <w:sz w:val="20"/>
          <w:szCs w:val="20"/>
          <w:color w:val="auto"/>
        </w:rPr>
      </w:pPr>
    </w:p>
    <w:p>
      <w:pPr>
        <w:ind w:right="40"/>
        <w:spacing w:after="0" w:line="237" w:lineRule="auto"/>
        <w:rPr>
          <w:sz w:val="20"/>
          <w:szCs w:val="20"/>
          <w:color w:val="auto"/>
        </w:rPr>
      </w:pPr>
      <w:r>
        <w:rPr>
          <w:rFonts w:ascii="Arial" w:cs="Arial" w:eastAsia="Arial" w:hAnsi="Arial"/>
          <w:sz w:val="13"/>
          <w:szCs w:val="13"/>
          <w:color w:val="auto"/>
        </w:rPr>
        <w:t>In connection with his appointment, Mr. Nicolelli and the Company entered into an employment agreement, under which Mr. Nicolelli received a joining bonus of $225,000, payable in two installments, and an initial grant of restricted stock units of the Company's common stock with a fair market value of $425,000, which will vest in four equal, annual installments beginning on the first anniversary of the grant date. The bonuses and grants were in part to address lost compensation Mr. Nicolelli would realize as a result of leaving his prior employment.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Benefits and Perquisites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We offer employee benefits coverage in order to:</w:t>
      </w:r>
    </w:p>
    <w:p>
      <w:pPr>
        <w:spacing w:after="0" w:line="152" w:lineRule="exact"/>
        <w:rPr>
          <w:sz w:val="20"/>
          <w:szCs w:val="20"/>
          <w:color w:val="auto"/>
        </w:rPr>
      </w:pPr>
    </w:p>
    <w:p>
      <w:pPr>
        <w:ind w:left="780" w:hanging="393"/>
        <w:spacing w:after="0"/>
        <w:tabs>
          <w:tab w:leader="none" w:pos="780" w:val="left"/>
        </w:tabs>
        <w:numPr>
          <w:ilvl w:val="0"/>
          <w:numId w:val="68"/>
        </w:numPr>
        <w:rPr>
          <w:rFonts w:ascii="Arial" w:cs="Arial" w:eastAsia="Arial" w:hAnsi="Arial"/>
          <w:sz w:val="13"/>
          <w:szCs w:val="13"/>
          <w:color w:val="FF4000"/>
        </w:rPr>
      </w:pPr>
      <w:r>
        <w:rPr>
          <w:rFonts w:ascii="Arial" w:cs="Arial" w:eastAsia="Arial" w:hAnsi="Arial"/>
          <w:sz w:val="13"/>
          <w:szCs w:val="13"/>
          <w:color w:val="auto"/>
        </w:rPr>
        <w:t>provide our global workforce with a reasonable level of financial support in the event of illness or injury; and</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68"/>
        </w:numPr>
        <w:rPr>
          <w:rFonts w:ascii="Arial" w:cs="Arial" w:eastAsia="Arial" w:hAnsi="Arial"/>
          <w:sz w:val="13"/>
          <w:szCs w:val="13"/>
          <w:color w:val="FF4000"/>
        </w:rPr>
      </w:pPr>
      <w:r>
        <w:rPr>
          <w:rFonts w:ascii="Arial" w:cs="Arial" w:eastAsia="Arial" w:hAnsi="Arial"/>
          <w:sz w:val="13"/>
          <w:szCs w:val="13"/>
          <w:color w:val="auto"/>
        </w:rPr>
        <w:t>provide market-competitive benefits that enhance productivity and job satisfaction through programs that focus on work/life balance.</w:t>
      </w:r>
    </w:p>
    <w:p>
      <w:pPr>
        <w:spacing w:after="0" w:line="152"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officers in India, Messrs. Bagai and Bhalla, are eligible to participate in the Company's pension benefit, health and welfare and fringe benefit plans otherwise available to executive employees in India.</w:t>
      </w:r>
    </w:p>
    <w:p>
      <w:pPr>
        <w:spacing w:after="0" w:line="151" w:lineRule="exact"/>
        <w:rPr>
          <w:sz w:val="20"/>
          <w:szCs w:val="20"/>
          <w:color w:val="auto"/>
        </w:rPr>
      </w:pPr>
    </w:p>
    <w:p>
      <w:pPr>
        <w:ind w:right="140"/>
        <w:spacing w:after="0" w:line="237" w:lineRule="auto"/>
        <w:rPr>
          <w:sz w:val="20"/>
          <w:szCs w:val="20"/>
          <w:color w:val="auto"/>
        </w:rPr>
      </w:pPr>
      <w:r>
        <w:rPr>
          <w:rFonts w:ascii="Arial" w:cs="Arial" w:eastAsia="Arial" w:hAnsi="Arial"/>
          <w:sz w:val="13"/>
          <w:szCs w:val="13"/>
          <w:color w:val="auto"/>
        </w:rPr>
        <w:t>We generally do not provide significant perquisites or personal benefits to executive officers other than our Vice Chairman and CEO and our executive officers in India. Our Vice Chairman and CEO is provided a limited number of perquisites which we believe are reasonable and consistent with market trends, which are intended to be part of a competitive overall compensation program. A discussion of the benefits provided to our Vice Chairman and CEO is provided under "Employment Agreements" beginning on page 89.</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Risk and Compensation Policies</w:t>
      </w:r>
    </w:p>
    <w:p>
      <w:pPr>
        <w:spacing w:after="0" w:line="168"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Our Compensation Committee has taken into account its discussions with management and FW Cook regarding our compensation practices and has concluded that any risks arising from our compensation policies and practices are not reasonably likely to have a material adverse effect on the Company. This conclusion was based on the features of our compensation programs, practices and policies set forth under "Executive Compensation Program, Practices and Policies" on page 67.</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Severance and Change-in-Control Benefits</w:t>
      </w:r>
    </w:p>
    <w:p>
      <w:pPr>
        <w:spacing w:after="0" w:line="168" w:lineRule="exact"/>
        <w:rPr>
          <w:sz w:val="20"/>
          <w:szCs w:val="20"/>
          <w:color w:val="auto"/>
        </w:rPr>
      </w:pPr>
    </w:p>
    <w:p>
      <w:pPr>
        <w:ind w:right="20"/>
        <w:spacing w:after="0" w:line="266" w:lineRule="auto"/>
        <w:rPr>
          <w:sz w:val="20"/>
          <w:szCs w:val="20"/>
          <w:color w:val="auto"/>
        </w:rPr>
      </w:pPr>
      <w:r>
        <w:rPr>
          <w:rFonts w:ascii="Arial" w:cs="Arial" w:eastAsia="Arial" w:hAnsi="Arial"/>
          <w:sz w:val="12"/>
          <w:szCs w:val="12"/>
          <w:color w:val="auto"/>
        </w:rPr>
        <w:t>Each named executive officer is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2020 Year-End" beginning on page 93.</w:t>
      </w:r>
    </w:p>
    <w:p>
      <w:pPr>
        <w:spacing w:after="0" w:line="134" w:lineRule="exact"/>
        <w:rPr>
          <w:sz w:val="20"/>
          <w:szCs w:val="20"/>
          <w:color w:val="auto"/>
        </w:rPr>
      </w:pPr>
    </w:p>
    <w:p>
      <w:pPr>
        <w:ind w:right="400"/>
        <w:spacing w:after="0" w:line="239" w:lineRule="auto"/>
        <w:rPr>
          <w:sz w:val="20"/>
          <w:szCs w:val="20"/>
          <w:color w:val="auto"/>
        </w:rPr>
      </w:pPr>
      <w:r>
        <w:rPr>
          <w:rFonts w:ascii="Arial" w:cs="Arial" w:eastAsia="Arial" w:hAnsi="Arial"/>
          <w:sz w:val="13"/>
          <w:szCs w:val="13"/>
          <w:color w:val="auto"/>
        </w:rPr>
        <w:t>We have provided change-in-control severance protection for some of our executive officers, including our named executive officers. Our Compensation Committee believes that such protection is intended to preserve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192405</wp:posOffset>
            </wp:positionV>
            <wp:extent cx="1408430" cy="3333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84" w:name="page85"/>
    <w:bookmarkEnd w:id="84"/>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168" w:lineRule="exact"/>
        <w:rPr>
          <w:sz w:val="20"/>
          <w:szCs w:val="20"/>
          <w:color w:val="auto"/>
        </w:rPr>
      </w:pPr>
    </w:p>
    <w:p>
      <w:pPr>
        <w:ind w:right="320"/>
        <w:spacing w:after="0" w:line="237" w:lineRule="auto"/>
        <w:rPr>
          <w:sz w:val="20"/>
          <w:szCs w:val="20"/>
          <w:color w:val="auto"/>
        </w:rPr>
      </w:pPr>
      <w:r>
        <w:rPr>
          <w:rFonts w:ascii="Arial" w:cs="Arial" w:eastAsia="Arial" w:hAnsi="Arial"/>
          <w:sz w:val="13"/>
          <w:szCs w:val="13"/>
          <w:color w:val="auto"/>
        </w:rPr>
        <w:t>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50"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Revised Employment Agreement for Mr. Kapoor</w:t>
      </w:r>
    </w:p>
    <w:p>
      <w:pPr>
        <w:spacing w:after="0" w:line="168" w:lineRule="exact"/>
        <w:rPr>
          <w:sz w:val="20"/>
          <w:szCs w:val="20"/>
          <w:color w:val="auto"/>
        </w:rPr>
      </w:pPr>
    </w:p>
    <w:p>
      <w:pPr>
        <w:ind w:right="180"/>
        <w:spacing w:after="0" w:line="235" w:lineRule="auto"/>
        <w:rPr>
          <w:sz w:val="20"/>
          <w:szCs w:val="20"/>
          <w:color w:val="auto"/>
        </w:rPr>
      </w:pPr>
      <w:r>
        <w:rPr>
          <w:rFonts w:ascii="Arial" w:cs="Arial" w:eastAsia="Arial" w:hAnsi="Arial"/>
          <w:sz w:val="13"/>
          <w:szCs w:val="13"/>
          <w:color w:val="auto"/>
        </w:rPr>
        <w:t>In August 2020, we revised the terms of our Vice Chairman and CEO's employment with our Company by entering into a second amended and restated employment agreement that became effective August 3, 2020. Except as stated herein, these terms are substantially similar to those in effect during the beginning of our 2020 fiscal year and are discussed in greater detail on page 89. The agreement provides for (1) an employment term that extends until Mr. Kapoor's termination or resignation (previously a three year term subject to renewal, unless terminated earlier), (2) updates, to reflect levels currently in effect, to Mr. Kapoor's base salary ($750,000, subject to his 50% base salary reduction and deferment of 2020 increments due to the COVID-19 pandemic), bonus (target of 150% and maximum payout of 310% of base salary) and equity ($4,925,000 baseline), and (3) associated changes to reflect the removal of the employment term and the addition of certain retirement benefits upon Mr. Kapoor's termination of his employment after the age of 60, including 27 months of continued equity vesting for outstanding awards.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2021 Compensation</w:t>
      </w:r>
    </w:p>
    <w:p>
      <w:pPr>
        <w:spacing w:after="0" w:line="168"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For fiscal year 2021, we amended the annual bonus program by removing the business unit component to further encourage a focus on enterprise initiatives and performance. For each named executive officer, the 2021 annual bonus program will be weighted 75% on Company performance and 25% on individual performance. Going forward, any relevant business unit performance may still be considered as a part of a named executive officer's individual component assessment.</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In response to the continuing COVID-19 pandemic, for fiscal year 2020, we also revised our long-term equity incentive program to remove the revenue performance metric because the current uncertainty and market volatility makes it difficult to predict a three-year revenue target. As a result, the PRSUs are based solely on TSR performance as compared to a pre-determined set of peer companies. Our Compensation Committee believes TSR continues to provide an effective metric as all companies are impacted by the current unprecedented environment. This decision was only made with respect to the 2021 grants and is not, at this time, intended to reflect a permanent change to the long-term equity incentive program.</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Deductibility Cap on Executive Compensation</w:t>
      </w:r>
    </w:p>
    <w:p>
      <w:pPr>
        <w:spacing w:after="0" w:line="168"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As in the past, our Compensation Committee expects to continue to take into consideration the tax deductibility of compensation, but reserves the right to authorize payments that may not be deductible if it believes that the payments are appropriate and consistent with our compensation philosophy.</w:t>
      </w:r>
    </w:p>
    <w:p>
      <w:pPr>
        <w:spacing w:after="0" w:line="150" w:lineRule="exact"/>
        <w:rPr>
          <w:sz w:val="20"/>
          <w:szCs w:val="20"/>
          <w:color w:val="auto"/>
        </w:rPr>
      </w:pPr>
    </w:p>
    <w:p>
      <w:pPr>
        <w:jc w:val="both"/>
        <w:ind w:right="160"/>
        <w:spacing w:after="0" w:line="237" w:lineRule="auto"/>
        <w:rPr>
          <w:sz w:val="20"/>
          <w:szCs w:val="20"/>
          <w:color w:val="auto"/>
        </w:rPr>
      </w:pPr>
      <w:r>
        <w:rPr>
          <w:rFonts w:ascii="Arial" w:cs="Arial" w:eastAsia="Arial" w:hAnsi="Arial"/>
          <w:sz w:val="13"/>
          <w:szCs w:val="13"/>
          <w:color w:val="auto"/>
        </w:rPr>
        <w:t>Despite the limited availability of Code Section 162(m) performance-based compensation exceptions following the Tax Cuts and Jobs Act of 2017, our Compensation Committee does not anticipate a shift away from variable or performance-based compensation payable to our named executive officers. Similarly, we do not expect to apply less rigor in the process by which we establish performance goals or evaluate performance against pre-established goals with respect to 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1408430" cy="3333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85" w:name="page86"/>
    <w:bookmarkEnd w:id="85"/>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COMPENSATION COMMITTEE REPORT</w:t>
      </w:r>
    </w:p>
    <w:p>
      <w:pPr>
        <w:spacing w:after="0" w:line="168" w:lineRule="exact"/>
        <w:rPr>
          <w:sz w:val="20"/>
          <w:szCs w:val="20"/>
          <w:color w:val="auto"/>
        </w:rPr>
      </w:pPr>
    </w:p>
    <w:p>
      <w:pPr>
        <w:jc w:val="both"/>
        <w:ind w:right="180"/>
        <w:spacing w:after="0" w:line="237" w:lineRule="auto"/>
        <w:rPr>
          <w:sz w:val="20"/>
          <w:szCs w:val="20"/>
          <w:color w:val="auto"/>
        </w:rPr>
      </w:pPr>
      <w:r>
        <w:rPr>
          <w:rFonts w:ascii="Arial" w:cs="Arial" w:eastAsia="Arial" w:hAnsi="Arial"/>
          <w:sz w:val="13"/>
          <w:szCs w:val="13"/>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for the fiscal year ended December 31, 2020, and our proxy statement relating to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Committee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Ms. Jaynie M. Studenmund (Chair)</w:t>
      </w:r>
    </w:p>
    <w:p>
      <w:pPr>
        <w:ind w:left="380"/>
        <w:spacing w:after="0" w:line="234" w:lineRule="auto"/>
        <w:rPr>
          <w:sz w:val="20"/>
          <w:szCs w:val="20"/>
          <w:color w:val="auto"/>
        </w:rPr>
      </w:pPr>
      <w:r>
        <w:rPr>
          <w:rFonts w:ascii="Arial" w:cs="Arial" w:eastAsia="Arial" w:hAnsi="Arial"/>
          <w:sz w:val="13"/>
          <w:szCs w:val="13"/>
          <w:color w:val="auto"/>
        </w:rPr>
        <w:t>Ms. Deborah Kerr</w:t>
      </w:r>
    </w:p>
    <w:p>
      <w:pPr>
        <w:ind w:left="380"/>
        <w:spacing w:after="0" w:line="234" w:lineRule="auto"/>
        <w:rPr>
          <w:sz w:val="20"/>
          <w:szCs w:val="20"/>
          <w:color w:val="auto"/>
        </w:rPr>
      </w:pPr>
      <w:r>
        <w:rPr>
          <w:rFonts w:ascii="Arial" w:cs="Arial" w:eastAsia="Arial" w:hAnsi="Arial"/>
          <w:sz w:val="13"/>
          <w:szCs w:val="13"/>
          <w:color w:val="auto"/>
        </w:rPr>
        <w:t>Ms. Anne Minto (Chair until December 31, 2020)</w:t>
      </w:r>
    </w:p>
    <w:p>
      <w:pPr>
        <w:ind w:left="380"/>
        <w:spacing w:after="0" w:line="234" w:lineRule="auto"/>
        <w:rPr>
          <w:sz w:val="20"/>
          <w:szCs w:val="20"/>
          <w:color w:val="auto"/>
        </w:rPr>
      </w:pPr>
      <w:r>
        <w:rPr>
          <w:rFonts w:ascii="Arial" w:cs="Arial" w:eastAsia="Arial" w:hAnsi="Arial"/>
          <w:sz w:val="13"/>
          <w:szCs w:val="13"/>
          <w:color w:val="auto"/>
        </w:rPr>
        <w:t>Mr. Som Mittal</w:t>
      </w:r>
    </w:p>
    <w:p>
      <w:pPr>
        <w:ind w:left="380"/>
        <w:spacing w:after="0" w:line="234" w:lineRule="auto"/>
        <w:rPr>
          <w:sz w:val="20"/>
          <w:szCs w:val="20"/>
          <w:color w:val="auto"/>
        </w:rPr>
      </w:pPr>
      <w:r>
        <w:rPr>
          <w:rFonts w:ascii="Arial" w:cs="Arial" w:eastAsia="Arial" w:hAnsi="Arial"/>
          <w:sz w:val="13"/>
          <w:szCs w:val="13"/>
          <w:color w:val="auto"/>
        </w:rPr>
        <w:t>Mr. Clyde W. Ostler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Mr. Garen K. Staglin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193675</wp:posOffset>
            </wp:positionV>
            <wp:extent cx="1408430" cy="3333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86" w:name="page87"/>
    <w:bookmarkEnd w:id="86"/>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FF4000"/>
        </w:rPr>
        <w:t>SUMMARY COMPENSATION TABLE FOR FISCAL YEAR 2020</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table sets forth information for compensation earned in fiscal years 2018, 2019 and 2020 by our named executive officers:</w:t>
      </w:r>
    </w:p>
    <w:p>
      <w:pPr>
        <w:spacing w:after="0" w:line="130" w:lineRule="exact"/>
        <w:rPr>
          <w:sz w:val="20"/>
          <w:szCs w:val="20"/>
          <w:color w:val="auto"/>
        </w:rPr>
      </w:pPr>
    </w:p>
    <w:tbl>
      <w:tblPr>
        <w:tblLayout w:type="fixed"/>
        <w:tblInd w:w="2" w:type="dxa"/>
        <w:tblCellMar>
          <w:top w:w="0" w:type="dxa"/>
          <w:left w:w="0" w:type="dxa"/>
          <w:bottom w:w="0" w:type="dxa"/>
          <w:right w:w="0" w:type="dxa"/>
        </w:tblCellMar>
      </w:tblPr>
      <w:tr>
        <w:trPr>
          <w:trHeight w:val="118"/>
        </w:trPr>
        <w:tc>
          <w:tcPr>
            <w:tcW w:w="37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right="248"/>
              <w:spacing w:after="0"/>
              <w:rPr>
                <w:sz w:val="20"/>
                <w:szCs w:val="20"/>
                <w:color w:val="auto"/>
              </w:rPr>
            </w:pPr>
            <w:r>
              <w:rPr>
                <w:rFonts w:ascii="Arial" w:cs="Arial" w:eastAsia="Arial" w:hAnsi="Arial"/>
                <w:sz w:val="10"/>
                <w:szCs w:val="10"/>
                <w:b w:val="1"/>
                <w:bCs w:val="1"/>
                <w:color w:val="auto"/>
              </w:rPr>
              <w:t>Change in</w:t>
            </w:r>
          </w:p>
        </w:tc>
        <w:tc>
          <w:tcPr>
            <w:tcW w:w="14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r>
      <w:tr>
        <w:trPr>
          <w:trHeight w:val="117"/>
        </w:trPr>
        <w:tc>
          <w:tcPr>
            <w:tcW w:w="3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80" w:type="dxa"/>
            <w:vAlign w:val="bottom"/>
          </w:tcPr>
          <w:p>
            <w:pPr>
              <w:jc w:val="center"/>
              <w:ind w:right="248"/>
              <w:spacing w:after="0"/>
              <w:rPr>
                <w:sz w:val="20"/>
                <w:szCs w:val="20"/>
                <w:color w:val="auto"/>
              </w:rPr>
            </w:pPr>
            <w:r>
              <w:rPr>
                <w:rFonts w:ascii="Arial" w:cs="Arial" w:eastAsia="Arial" w:hAnsi="Arial"/>
                <w:sz w:val="10"/>
                <w:szCs w:val="10"/>
                <w:b w:val="1"/>
                <w:bCs w:val="1"/>
                <w:color w:val="auto"/>
              </w:rPr>
              <w:t>Pension Value</w:t>
            </w:r>
          </w:p>
        </w:tc>
        <w:tc>
          <w:tcPr>
            <w:tcW w:w="14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17"/>
        </w:trPr>
        <w:tc>
          <w:tcPr>
            <w:tcW w:w="3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80" w:type="dxa"/>
            <w:vAlign w:val="bottom"/>
          </w:tcPr>
          <w:p>
            <w:pPr>
              <w:jc w:val="center"/>
              <w:ind w:right="248"/>
              <w:spacing w:after="0"/>
              <w:rPr>
                <w:sz w:val="20"/>
                <w:szCs w:val="20"/>
                <w:color w:val="auto"/>
              </w:rPr>
            </w:pPr>
            <w:r>
              <w:rPr>
                <w:rFonts w:ascii="Arial" w:cs="Arial" w:eastAsia="Arial" w:hAnsi="Arial"/>
                <w:sz w:val="10"/>
                <w:szCs w:val="10"/>
                <w:b w:val="1"/>
                <w:bCs w:val="1"/>
                <w:color w:val="auto"/>
              </w:rPr>
              <w:t>and</w:t>
            </w:r>
          </w:p>
        </w:tc>
        <w:tc>
          <w:tcPr>
            <w:tcW w:w="14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17"/>
        </w:trPr>
        <w:tc>
          <w:tcPr>
            <w:tcW w:w="3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60" w:type="dxa"/>
            <w:vAlign w:val="bottom"/>
          </w:tcPr>
          <w:p>
            <w:pPr>
              <w:jc w:val="center"/>
              <w:ind w:right="248"/>
              <w:spacing w:after="0"/>
              <w:rPr>
                <w:sz w:val="20"/>
                <w:szCs w:val="20"/>
                <w:color w:val="auto"/>
              </w:rPr>
            </w:pPr>
            <w:r>
              <w:rPr>
                <w:rFonts w:ascii="Arial" w:cs="Arial" w:eastAsia="Arial" w:hAnsi="Arial"/>
                <w:sz w:val="10"/>
                <w:szCs w:val="10"/>
                <w:b w:val="1"/>
                <w:bCs w:val="1"/>
                <w:color w:val="auto"/>
              </w:rPr>
              <w:t>Non-Equity</w:t>
            </w:r>
          </w:p>
        </w:tc>
        <w:tc>
          <w:tcPr>
            <w:tcW w:w="1480" w:type="dxa"/>
            <w:vAlign w:val="bottom"/>
          </w:tcPr>
          <w:p>
            <w:pPr>
              <w:jc w:val="center"/>
              <w:ind w:right="248"/>
              <w:spacing w:after="0"/>
              <w:rPr>
                <w:sz w:val="20"/>
                <w:szCs w:val="20"/>
                <w:color w:val="auto"/>
              </w:rPr>
            </w:pPr>
            <w:r>
              <w:rPr>
                <w:rFonts w:ascii="Arial" w:cs="Arial" w:eastAsia="Arial" w:hAnsi="Arial"/>
                <w:sz w:val="10"/>
                <w:szCs w:val="10"/>
                <w:b w:val="1"/>
                <w:bCs w:val="1"/>
                <w:color w:val="auto"/>
              </w:rPr>
              <w:t>Nonqualified</w:t>
            </w:r>
          </w:p>
        </w:tc>
        <w:tc>
          <w:tcPr>
            <w:tcW w:w="14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17"/>
        </w:trPr>
        <w:tc>
          <w:tcPr>
            <w:tcW w:w="3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60" w:type="dxa"/>
            <w:vAlign w:val="bottom"/>
          </w:tcPr>
          <w:p>
            <w:pPr>
              <w:jc w:val="center"/>
              <w:ind w:right="248"/>
              <w:spacing w:after="0"/>
              <w:rPr>
                <w:sz w:val="20"/>
                <w:szCs w:val="20"/>
                <w:color w:val="auto"/>
              </w:rPr>
            </w:pPr>
            <w:r>
              <w:rPr>
                <w:rFonts w:ascii="Arial" w:cs="Arial" w:eastAsia="Arial" w:hAnsi="Arial"/>
                <w:sz w:val="10"/>
                <w:szCs w:val="10"/>
                <w:b w:val="1"/>
                <w:bCs w:val="1"/>
                <w:color w:val="auto"/>
              </w:rPr>
              <w:t>Incentive</w:t>
            </w:r>
          </w:p>
        </w:tc>
        <w:tc>
          <w:tcPr>
            <w:tcW w:w="1480" w:type="dxa"/>
            <w:vAlign w:val="bottom"/>
          </w:tcPr>
          <w:p>
            <w:pPr>
              <w:jc w:val="center"/>
              <w:ind w:right="248"/>
              <w:spacing w:after="0"/>
              <w:rPr>
                <w:sz w:val="20"/>
                <w:szCs w:val="20"/>
                <w:color w:val="auto"/>
              </w:rPr>
            </w:pPr>
            <w:r>
              <w:rPr>
                <w:rFonts w:ascii="Arial" w:cs="Arial" w:eastAsia="Arial" w:hAnsi="Arial"/>
                <w:sz w:val="10"/>
                <w:szCs w:val="10"/>
                <w:b w:val="1"/>
                <w:bCs w:val="1"/>
                <w:color w:val="auto"/>
              </w:rPr>
              <w:t>Deferred</w:t>
            </w:r>
          </w:p>
        </w:tc>
        <w:tc>
          <w:tcPr>
            <w:tcW w:w="14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5"/>
        </w:trPr>
        <w:tc>
          <w:tcPr>
            <w:tcW w:w="3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jc w:val="center"/>
              <w:ind w:right="108"/>
              <w:spacing w:after="0"/>
              <w:rPr>
                <w:sz w:val="20"/>
                <w:szCs w:val="20"/>
                <w:color w:val="auto"/>
              </w:rPr>
            </w:pPr>
            <w:r>
              <w:rPr>
                <w:rFonts w:ascii="Arial" w:cs="Arial" w:eastAsia="Arial" w:hAnsi="Arial"/>
                <w:sz w:val="10"/>
                <w:szCs w:val="10"/>
                <w:b w:val="1"/>
                <w:bCs w:val="1"/>
                <w:color w:val="auto"/>
              </w:rPr>
              <w:t>Stock</w:t>
            </w:r>
          </w:p>
        </w:tc>
        <w:tc>
          <w:tcPr>
            <w:tcW w:w="1460" w:type="dxa"/>
            <w:vAlign w:val="bottom"/>
          </w:tcPr>
          <w:p>
            <w:pPr>
              <w:jc w:val="center"/>
              <w:ind w:right="228"/>
              <w:spacing w:after="0"/>
              <w:rPr>
                <w:sz w:val="20"/>
                <w:szCs w:val="20"/>
                <w:color w:val="auto"/>
              </w:rPr>
            </w:pPr>
            <w:r>
              <w:rPr>
                <w:rFonts w:ascii="Arial" w:cs="Arial" w:eastAsia="Arial" w:hAnsi="Arial"/>
                <w:sz w:val="10"/>
                <w:szCs w:val="10"/>
                <w:b w:val="1"/>
                <w:bCs w:val="1"/>
                <w:color w:val="auto"/>
              </w:rPr>
              <w:t>Plan</w:t>
            </w:r>
          </w:p>
        </w:tc>
        <w:tc>
          <w:tcPr>
            <w:tcW w:w="1480" w:type="dxa"/>
            <w:vAlign w:val="bottom"/>
          </w:tcPr>
          <w:p>
            <w:pPr>
              <w:jc w:val="center"/>
              <w:ind w:right="228"/>
              <w:spacing w:after="0"/>
              <w:rPr>
                <w:sz w:val="20"/>
                <w:szCs w:val="20"/>
                <w:color w:val="auto"/>
              </w:rPr>
            </w:pPr>
            <w:r>
              <w:rPr>
                <w:rFonts w:ascii="Arial" w:cs="Arial" w:eastAsia="Arial" w:hAnsi="Arial"/>
                <w:sz w:val="10"/>
                <w:szCs w:val="10"/>
                <w:b w:val="1"/>
                <w:bCs w:val="1"/>
                <w:color w:val="auto"/>
              </w:rPr>
              <w:t>Compensation</w:t>
            </w:r>
          </w:p>
        </w:tc>
        <w:tc>
          <w:tcPr>
            <w:tcW w:w="1480" w:type="dxa"/>
            <w:vAlign w:val="bottom"/>
          </w:tcPr>
          <w:p>
            <w:pPr>
              <w:jc w:val="center"/>
              <w:ind w:right="269"/>
              <w:spacing w:after="0"/>
              <w:rPr>
                <w:sz w:val="20"/>
                <w:szCs w:val="20"/>
                <w:color w:val="auto"/>
              </w:rPr>
            </w:pPr>
            <w:r>
              <w:rPr>
                <w:rFonts w:ascii="Arial" w:cs="Arial" w:eastAsia="Arial" w:hAnsi="Arial"/>
                <w:sz w:val="10"/>
                <w:szCs w:val="10"/>
                <w:b w:val="1"/>
                <w:bCs w:val="1"/>
                <w:color w:val="auto"/>
              </w:rPr>
              <w:t>All Other</w:t>
            </w:r>
          </w:p>
        </w:tc>
        <w:tc>
          <w:tcPr>
            <w:tcW w:w="560" w:type="dxa"/>
            <w:vAlign w:val="bottom"/>
          </w:tcPr>
          <w:p>
            <w:pPr>
              <w:spacing w:after="0"/>
              <w:rPr>
                <w:sz w:val="10"/>
                <w:szCs w:val="10"/>
                <w:color w:val="auto"/>
              </w:rPr>
            </w:pPr>
          </w:p>
        </w:tc>
      </w:tr>
      <w:tr>
        <w:trPr>
          <w:trHeight w:val="117"/>
        </w:trPr>
        <w:tc>
          <w:tcPr>
            <w:tcW w:w="3760" w:type="dxa"/>
            <w:vAlign w:val="bottom"/>
          </w:tcPr>
          <w:p>
            <w:pPr>
              <w:spacing w:after="0"/>
              <w:rPr>
                <w:sz w:val="20"/>
                <w:szCs w:val="20"/>
                <w:color w:val="auto"/>
              </w:rPr>
            </w:pPr>
            <w:r>
              <w:rPr>
                <w:rFonts w:ascii="Arial" w:cs="Arial" w:eastAsia="Arial" w:hAnsi="Arial"/>
                <w:sz w:val="10"/>
                <w:szCs w:val="10"/>
                <w:b w:val="1"/>
                <w:bCs w:val="1"/>
                <w:color w:val="auto"/>
              </w:rPr>
              <w:t>Name and</w:t>
            </w:r>
          </w:p>
        </w:tc>
        <w:tc>
          <w:tcPr>
            <w:tcW w:w="520" w:type="dxa"/>
            <w:vAlign w:val="bottom"/>
          </w:tcPr>
          <w:p>
            <w:pPr>
              <w:spacing w:after="0"/>
              <w:rPr>
                <w:sz w:val="10"/>
                <w:szCs w:val="10"/>
                <w:color w:val="auto"/>
              </w:rPr>
            </w:pPr>
          </w:p>
        </w:tc>
        <w:tc>
          <w:tcPr>
            <w:tcW w:w="600" w:type="dxa"/>
            <w:vAlign w:val="bottom"/>
          </w:tcPr>
          <w:p>
            <w:pPr>
              <w:jc w:val="right"/>
              <w:ind w:right="128"/>
              <w:spacing w:after="0"/>
              <w:rPr>
                <w:sz w:val="20"/>
                <w:szCs w:val="20"/>
                <w:color w:val="auto"/>
              </w:rPr>
            </w:pPr>
            <w:r>
              <w:rPr>
                <w:rFonts w:ascii="Arial" w:cs="Arial" w:eastAsia="Arial" w:hAnsi="Arial"/>
                <w:sz w:val="10"/>
                <w:szCs w:val="10"/>
                <w:b w:val="1"/>
                <w:bCs w:val="1"/>
                <w:color w:val="auto"/>
              </w:rPr>
              <w:t>Salary</w:t>
            </w:r>
          </w:p>
        </w:tc>
        <w:tc>
          <w:tcPr>
            <w:tcW w:w="520" w:type="dxa"/>
            <w:vAlign w:val="bottom"/>
          </w:tcPr>
          <w:p>
            <w:pPr>
              <w:jc w:val="right"/>
              <w:ind w:right="69"/>
              <w:spacing w:after="0"/>
              <w:rPr>
                <w:sz w:val="20"/>
                <w:szCs w:val="20"/>
                <w:color w:val="auto"/>
              </w:rPr>
            </w:pPr>
            <w:r>
              <w:rPr>
                <w:rFonts w:ascii="Arial" w:cs="Arial" w:eastAsia="Arial" w:hAnsi="Arial"/>
                <w:sz w:val="10"/>
                <w:szCs w:val="10"/>
                <w:b w:val="1"/>
                <w:bCs w:val="1"/>
                <w:color w:val="auto"/>
              </w:rPr>
              <w:t>Bonus</w:t>
            </w:r>
          </w:p>
        </w:tc>
        <w:tc>
          <w:tcPr>
            <w:tcW w:w="800" w:type="dxa"/>
            <w:vAlign w:val="bottom"/>
          </w:tcPr>
          <w:p>
            <w:pPr>
              <w:jc w:val="center"/>
              <w:ind w:right="108"/>
              <w:spacing w:after="0"/>
              <w:rPr>
                <w:sz w:val="20"/>
                <w:szCs w:val="20"/>
                <w:color w:val="auto"/>
              </w:rPr>
            </w:pPr>
            <w:r>
              <w:rPr>
                <w:rFonts w:ascii="Arial" w:cs="Arial" w:eastAsia="Arial" w:hAnsi="Arial"/>
                <w:sz w:val="10"/>
                <w:szCs w:val="10"/>
                <w:b w:val="1"/>
                <w:bCs w:val="1"/>
                <w:color w:val="auto"/>
                <w:w w:val="99"/>
              </w:rPr>
              <w:t>Awards</w:t>
            </w:r>
          </w:p>
        </w:tc>
        <w:tc>
          <w:tcPr>
            <w:tcW w:w="1460" w:type="dxa"/>
            <w:vAlign w:val="bottom"/>
          </w:tcPr>
          <w:p>
            <w:pPr>
              <w:jc w:val="center"/>
              <w:ind w:right="248"/>
              <w:spacing w:after="0"/>
              <w:rPr>
                <w:sz w:val="20"/>
                <w:szCs w:val="20"/>
                <w:color w:val="auto"/>
              </w:rPr>
            </w:pPr>
            <w:r>
              <w:rPr>
                <w:rFonts w:ascii="Arial" w:cs="Arial" w:eastAsia="Arial" w:hAnsi="Arial"/>
                <w:sz w:val="10"/>
                <w:szCs w:val="10"/>
                <w:b w:val="1"/>
                <w:bCs w:val="1"/>
                <w:color w:val="auto"/>
              </w:rPr>
              <w:t>Compensation</w:t>
            </w:r>
          </w:p>
        </w:tc>
        <w:tc>
          <w:tcPr>
            <w:tcW w:w="1480" w:type="dxa"/>
            <w:vAlign w:val="bottom"/>
          </w:tcPr>
          <w:p>
            <w:pPr>
              <w:jc w:val="center"/>
              <w:ind w:right="248"/>
              <w:spacing w:after="0"/>
              <w:rPr>
                <w:sz w:val="20"/>
                <w:szCs w:val="20"/>
                <w:color w:val="auto"/>
              </w:rPr>
            </w:pPr>
            <w:r>
              <w:rPr>
                <w:rFonts w:ascii="Arial" w:cs="Arial" w:eastAsia="Arial" w:hAnsi="Arial"/>
                <w:sz w:val="10"/>
                <w:szCs w:val="10"/>
                <w:b w:val="1"/>
                <w:bCs w:val="1"/>
                <w:color w:val="auto"/>
              </w:rPr>
              <w:t>Earnings</w:t>
            </w:r>
          </w:p>
        </w:tc>
        <w:tc>
          <w:tcPr>
            <w:tcW w:w="1480" w:type="dxa"/>
            <w:vAlign w:val="bottom"/>
          </w:tcPr>
          <w:p>
            <w:pPr>
              <w:jc w:val="center"/>
              <w:ind w:right="269"/>
              <w:spacing w:after="0"/>
              <w:rPr>
                <w:sz w:val="20"/>
                <w:szCs w:val="20"/>
                <w:color w:val="auto"/>
              </w:rPr>
            </w:pPr>
            <w:r>
              <w:rPr>
                <w:rFonts w:ascii="Arial" w:cs="Arial" w:eastAsia="Arial" w:hAnsi="Arial"/>
                <w:sz w:val="10"/>
                <w:szCs w:val="10"/>
                <w:b w:val="1"/>
                <w:bCs w:val="1"/>
                <w:color w:val="auto"/>
              </w:rPr>
              <w:t>Compensation</w:t>
            </w:r>
          </w:p>
        </w:tc>
        <w:tc>
          <w:tcPr>
            <w:tcW w:w="560" w:type="dxa"/>
            <w:vAlign w:val="bottom"/>
          </w:tcPr>
          <w:p>
            <w:pPr>
              <w:jc w:val="right"/>
              <w:ind w:right="68"/>
              <w:spacing w:after="0"/>
              <w:rPr>
                <w:sz w:val="20"/>
                <w:szCs w:val="20"/>
                <w:color w:val="auto"/>
              </w:rPr>
            </w:pPr>
            <w:r>
              <w:rPr>
                <w:rFonts w:ascii="Arial" w:cs="Arial" w:eastAsia="Arial" w:hAnsi="Arial"/>
                <w:sz w:val="10"/>
                <w:szCs w:val="10"/>
                <w:b w:val="1"/>
                <w:bCs w:val="1"/>
                <w:color w:val="auto"/>
              </w:rPr>
              <w:t>Total</w:t>
            </w:r>
          </w:p>
        </w:tc>
      </w:tr>
      <w:tr>
        <w:trPr>
          <w:trHeight w:val="136"/>
        </w:trPr>
        <w:tc>
          <w:tcPr>
            <w:tcW w:w="37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Principal Position</w:t>
            </w: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Year</w:t>
            </w: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auto"/>
            </w:tcBorders>
          </w:tcPr>
          <w:p>
            <w:pPr>
              <w:jc w:val="right"/>
              <w:ind w:right="109"/>
              <w:spacing w:after="0" w:line="136"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7"/>
                <w:szCs w:val="7"/>
                <w:b w:val="1"/>
                <w:bCs w:val="1"/>
                <w:color w:val="auto"/>
              </w:rPr>
              <w:t>(13)</w:t>
            </w:r>
          </w:p>
        </w:tc>
        <w:tc>
          <w:tcPr>
            <w:tcW w:w="800" w:type="dxa"/>
            <w:vAlign w:val="bottom"/>
            <w:tcBorders>
              <w:bottom w:val="single" w:sz="8" w:color="auto"/>
            </w:tcBorders>
          </w:tcPr>
          <w:p>
            <w:pPr>
              <w:jc w:val="center"/>
              <w:ind w:right="88"/>
              <w:spacing w:after="0" w:line="136" w:lineRule="exact"/>
              <w:rPr>
                <w:sz w:val="20"/>
                <w:szCs w:val="20"/>
                <w:color w:val="auto"/>
              </w:rPr>
            </w:pPr>
            <w:r>
              <w:rPr>
                <w:rFonts w:ascii="Arial" w:cs="Arial" w:eastAsia="Arial" w:hAnsi="Arial"/>
                <w:sz w:val="10"/>
                <w:szCs w:val="10"/>
                <w:b w:val="1"/>
                <w:bCs w:val="1"/>
                <w:color w:val="auto"/>
                <w:w w:val="89"/>
              </w:rPr>
              <w:t>($)</w:t>
            </w:r>
            <w:r>
              <w:rPr>
                <w:rFonts w:ascii="Arial" w:cs="Arial" w:eastAsia="Arial" w:hAnsi="Arial"/>
                <w:sz w:val="15"/>
                <w:szCs w:val="15"/>
                <w:b w:val="1"/>
                <w:bCs w:val="1"/>
                <w:color w:val="auto"/>
                <w:w w:val="89"/>
                <w:vertAlign w:val="superscript"/>
              </w:rPr>
              <w:t>(4)</w:t>
            </w:r>
          </w:p>
        </w:tc>
        <w:tc>
          <w:tcPr>
            <w:tcW w:w="1460" w:type="dxa"/>
            <w:vAlign w:val="bottom"/>
            <w:tcBorders>
              <w:bottom w:val="single" w:sz="8" w:color="auto"/>
            </w:tcBorders>
          </w:tcPr>
          <w:p>
            <w:pPr>
              <w:jc w:val="center"/>
              <w:ind w:right="228"/>
              <w:spacing w:after="0" w:line="136" w:lineRule="exact"/>
              <w:rPr>
                <w:sz w:val="20"/>
                <w:szCs w:val="20"/>
                <w:color w:val="auto"/>
              </w:rPr>
            </w:pPr>
            <w:r>
              <w:rPr>
                <w:rFonts w:ascii="Arial" w:cs="Arial" w:eastAsia="Arial" w:hAnsi="Arial"/>
                <w:sz w:val="10"/>
                <w:szCs w:val="10"/>
                <w:b w:val="1"/>
                <w:bCs w:val="1"/>
                <w:color w:val="auto"/>
                <w:w w:val="89"/>
              </w:rPr>
              <w:t>($)</w:t>
            </w:r>
            <w:r>
              <w:rPr>
                <w:rFonts w:ascii="Arial" w:cs="Arial" w:eastAsia="Arial" w:hAnsi="Arial"/>
                <w:sz w:val="15"/>
                <w:szCs w:val="15"/>
                <w:b w:val="1"/>
                <w:bCs w:val="1"/>
                <w:color w:val="auto"/>
                <w:w w:val="89"/>
                <w:vertAlign w:val="superscript"/>
              </w:rPr>
              <w:t>(5)</w:t>
            </w:r>
          </w:p>
        </w:tc>
        <w:tc>
          <w:tcPr>
            <w:tcW w:w="1480" w:type="dxa"/>
            <w:vAlign w:val="bottom"/>
            <w:tcBorders>
              <w:bottom w:val="single" w:sz="8" w:color="auto"/>
            </w:tcBorders>
          </w:tcPr>
          <w:p>
            <w:pPr>
              <w:jc w:val="center"/>
              <w:ind w:right="248"/>
              <w:spacing w:after="0" w:line="136" w:lineRule="exact"/>
              <w:rPr>
                <w:sz w:val="20"/>
                <w:szCs w:val="20"/>
                <w:color w:val="auto"/>
              </w:rPr>
            </w:pPr>
            <w:r>
              <w:rPr>
                <w:rFonts w:ascii="Arial" w:cs="Arial" w:eastAsia="Arial" w:hAnsi="Arial"/>
                <w:sz w:val="10"/>
                <w:szCs w:val="10"/>
                <w:b w:val="1"/>
                <w:bCs w:val="1"/>
                <w:color w:val="auto"/>
                <w:w w:val="89"/>
              </w:rPr>
              <w:t>($)</w:t>
            </w:r>
            <w:r>
              <w:rPr>
                <w:rFonts w:ascii="Arial" w:cs="Arial" w:eastAsia="Arial" w:hAnsi="Arial"/>
                <w:sz w:val="15"/>
                <w:szCs w:val="15"/>
                <w:b w:val="1"/>
                <w:bCs w:val="1"/>
                <w:color w:val="auto"/>
                <w:w w:val="89"/>
                <w:vertAlign w:val="superscript"/>
              </w:rPr>
              <w:t>(6)</w:t>
            </w:r>
          </w:p>
        </w:tc>
        <w:tc>
          <w:tcPr>
            <w:tcW w:w="1480" w:type="dxa"/>
            <w:vAlign w:val="bottom"/>
            <w:tcBorders>
              <w:bottom w:val="single" w:sz="8" w:color="auto"/>
            </w:tcBorders>
          </w:tcPr>
          <w:p>
            <w:pPr>
              <w:jc w:val="center"/>
              <w:ind w:right="269"/>
              <w:spacing w:after="0"/>
              <w:rPr>
                <w:sz w:val="20"/>
                <w:szCs w:val="20"/>
                <w:color w:val="auto"/>
              </w:rPr>
            </w:pPr>
            <w:r>
              <w:rPr>
                <w:rFonts w:ascii="Arial" w:cs="Arial" w:eastAsia="Arial" w:hAnsi="Arial"/>
                <w:sz w:val="10"/>
                <w:szCs w:val="10"/>
                <w:b w:val="1"/>
                <w:bCs w:val="1"/>
                <w:color w:val="auto"/>
                <w:w w:val="97"/>
              </w:rPr>
              <w:t>($)</w:t>
            </w: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w:t>
            </w:r>
          </w:p>
        </w:tc>
      </w:tr>
      <w:tr>
        <w:trPr>
          <w:trHeight w:val="110"/>
        </w:trPr>
        <w:tc>
          <w:tcPr>
            <w:tcW w:w="3760" w:type="dxa"/>
            <w:vAlign w:val="bottom"/>
          </w:tcPr>
          <w:p>
            <w:pPr>
              <w:spacing w:after="0" w:line="110" w:lineRule="exact"/>
              <w:rPr>
                <w:sz w:val="20"/>
                <w:szCs w:val="20"/>
                <w:color w:val="auto"/>
              </w:rPr>
            </w:pPr>
            <w:r>
              <w:rPr>
                <w:rFonts w:ascii="Arial" w:cs="Arial" w:eastAsia="Arial" w:hAnsi="Arial"/>
                <w:sz w:val="10"/>
                <w:szCs w:val="10"/>
                <w:b w:val="1"/>
                <w:bCs w:val="1"/>
                <w:color w:val="auto"/>
              </w:rPr>
              <w:t>Rohit Kapoor</w:t>
            </w:r>
          </w:p>
        </w:tc>
        <w:tc>
          <w:tcPr>
            <w:tcW w:w="520" w:type="dxa"/>
            <w:vAlign w:val="bottom"/>
          </w:tcPr>
          <w:p>
            <w:pPr>
              <w:ind w:left="180"/>
              <w:spacing w:after="0" w:line="110" w:lineRule="exact"/>
              <w:rPr>
                <w:sz w:val="20"/>
                <w:szCs w:val="20"/>
                <w:color w:val="auto"/>
              </w:rPr>
            </w:pPr>
            <w:r>
              <w:rPr>
                <w:rFonts w:ascii="Arial" w:cs="Arial" w:eastAsia="Arial" w:hAnsi="Arial"/>
                <w:sz w:val="10"/>
                <w:szCs w:val="10"/>
                <w:color w:val="auto"/>
              </w:rPr>
              <w:t>2020</w:t>
            </w:r>
          </w:p>
        </w:tc>
        <w:tc>
          <w:tcPr>
            <w:tcW w:w="600" w:type="dxa"/>
            <w:vAlign w:val="bottom"/>
          </w:tcPr>
          <w:p>
            <w:pPr>
              <w:jc w:val="right"/>
              <w:ind w:right="88"/>
              <w:spacing w:after="0" w:line="110" w:lineRule="exact"/>
              <w:rPr>
                <w:sz w:val="20"/>
                <w:szCs w:val="20"/>
                <w:color w:val="auto"/>
              </w:rPr>
            </w:pPr>
            <w:r>
              <w:rPr>
                <w:rFonts w:ascii="Arial" w:cs="Arial" w:eastAsia="Arial" w:hAnsi="Arial"/>
                <w:sz w:val="10"/>
                <w:szCs w:val="10"/>
                <w:color w:val="auto"/>
              </w:rPr>
              <w:t>599,016</w:t>
            </w:r>
          </w:p>
        </w:tc>
        <w:tc>
          <w:tcPr>
            <w:tcW w:w="520" w:type="dxa"/>
            <w:vAlign w:val="bottom"/>
          </w:tcPr>
          <w:p>
            <w:pPr>
              <w:jc w:val="right"/>
              <w:ind w:right="49"/>
              <w:spacing w:after="0" w:line="110"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188"/>
              <w:spacing w:after="0" w:line="110" w:lineRule="exact"/>
              <w:rPr>
                <w:sz w:val="20"/>
                <w:szCs w:val="20"/>
                <w:color w:val="auto"/>
              </w:rPr>
            </w:pPr>
            <w:r>
              <w:rPr>
                <w:rFonts w:ascii="Arial" w:cs="Arial" w:eastAsia="Arial" w:hAnsi="Arial"/>
                <w:sz w:val="10"/>
                <w:szCs w:val="10"/>
                <w:color w:val="auto"/>
              </w:rPr>
              <w:t>5,701,209</w:t>
            </w:r>
          </w:p>
        </w:tc>
        <w:tc>
          <w:tcPr>
            <w:tcW w:w="1460" w:type="dxa"/>
            <w:vAlign w:val="bottom"/>
          </w:tcPr>
          <w:p>
            <w:pPr>
              <w:jc w:val="right"/>
              <w:ind w:right="188"/>
              <w:spacing w:after="0" w:line="110" w:lineRule="exact"/>
              <w:rPr>
                <w:sz w:val="20"/>
                <w:szCs w:val="20"/>
                <w:color w:val="auto"/>
              </w:rPr>
            </w:pPr>
            <w:r>
              <w:rPr>
                <w:rFonts w:ascii="Arial" w:cs="Arial" w:eastAsia="Arial" w:hAnsi="Arial"/>
                <w:sz w:val="10"/>
                <w:szCs w:val="10"/>
                <w:color w:val="auto"/>
              </w:rPr>
              <w:t>810,000</w:t>
            </w:r>
          </w:p>
        </w:tc>
        <w:tc>
          <w:tcPr>
            <w:tcW w:w="1480" w:type="dxa"/>
            <w:vAlign w:val="bottom"/>
          </w:tcPr>
          <w:p>
            <w:pPr>
              <w:jc w:val="right"/>
              <w:ind w:right="188"/>
              <w:spacing w:after="0" w:line="110" w:lineRule="exact"/>
              <w:rPr>
                <w:sz w:val="20"/>
                <w:szCs w:val="20"/>
                <w:color w:val="auto"/>
              </w:rPr>
            </w:pPr>
            <w:r>
              <w:rPr>
                <w:rFonts w:ascii="Arial" w:cs="Arial" w:eastAsia="Arial" w:hAnsi="Arial"/>
                <w:sz w:val="10"/>
                <w:szCs w:val="10"/>
                <w:color w:val="auto"/>
              </w:rPr>
              <w:t>—</w:t>
            </w:r>
          </w:p>
        </w:tc>
        <w:tc>
          <w:tcPr>
            <w:tcW w:w="1480" w:type="dxa"/>
            <w:vAlign w:val="bottom"/>
          </w:tcPr>
          <w:p>
            <w:pPr>
              <w:jc w:val="right"/>
              <w:ind w:right="89"/>
              <w:spacing w:after="0" w:line="110" w:lineRule="exact"/>
              <w:rPr>
                <w:sz w:val="20"/>
                <w:szCs w:val="20"/>
                <w:color w:val="auto"/>
              </w:rPr>
            </w:pPr>
            <w:r>
              <w:rPr>
                <w:rFonts w:ascii="Arial" w:cs="Arial" w:eastAsia="Arial" w:hAnsi="Arial"/>
                <w:sz w:val="9"/>
                <w:szCs w:val="9"/>
                <w:color w:val="auto"/>
              </w:rPr>
              <w:t>31,041</w:t>
            </w:r>
            <w:r>
              <w:rPr>
                <w:rFonts w:ascii="Arial" w:cs="Arial" w:eastAsia="Arial" w:hAnsi="Arial"/>
                <w:sz w:val="12"/>
                <w:szCs w:val="12"/>
                <w:color w:val="auto"/>
                <w:vertAlign w:val="superscript"/>
              </w:rPr>
              <w:t>(7)</w:t>
            </w:r>
          </w:p>
        </w:tc>
        <w:tc>
          <w:tcPr>
            <w:tcW w:w="560" w:type="dxa"/>
            <w:vAlign w:val="bottom"/>
          </w:tcPr>
          <w:p>
            <w:pPr>
              <w:jc w:val="right"/>
              <w:spacing w:after="0" w:line="110" w:lineRule="exact"/>
              <w:rPr>
                <w:sz w:val="20"/>
                <w:szCs w:val="20"/>
                <w:color w:val="auto"/>
              </w:rPr>
            </w:pPr>
            <w:r>
              <w:rPr>
                <w:rFonts w:ascii="Arial" w:cs="Arial" w:eastAsia="Arial" w:hAnsi="Arial"/>
                <w:sz w:val="10"/>
                <w:szCs w:val="10"/>
                <w:color w:val="auto"/>
              </w:rPr>
              <w:t>7,141,267</w:t>
            </w:r>
          </w:p>
        </w:tc>
      </w:tr>
      <w:tr>
        <w:trPr>
          <w:trHeight w:val="117"/>
        </w:trPr>
        <w:tc>
          <w:tcPr>
            <w:tcW w:w="3760" w:type="dxa"/>
            <w:vAlign w:val="bottom"/>
          </w:tcPr>
          <w:p>
            <w:pPr>
              <w:spacing w:after="0"/>
              <w:rPr>
                <w:sz w:val="20"/>
                <w:szCs w:val="20"/>
                <w:color w:val="auto"/>
              </w:rPr>
            </w:pPr>
            <w:r>
              <w:rPr>
                <w:rFonts w:ascii="Arial" w:cs="Arial" w:eastAsia="Arial" w:hAnsi="Arial"/>
                <w:sz w:val="10"/>
                <w:szCs w:val="10"/>
                <w:color w:val="auto"/>
              </w:rPr>
              <w:t>Vice Chairman &amp; CEO</w:t>
            </w:r>
          </w:p>
        </w:tc>
        <w:tc>
          <w:tcPr>
            <w:tcW w:w="520" w:type="dxa"/>
            <w:vAlign w:val="bottom"/>
          </w:tcPr>
          <w:p>
            <w:pPr>
              <w:ind w:left="180"/>
              <w:spacing w:after="0"/>
              <w:rPr>
                <w:sz w:val="20"/>
                <w:szCs w:val="20"/>
                <w:color w:val="auto"/>
              </w:rPr>
            </w:pPr>
            <w:r>
              <w:rPr>
                <w:rFonts w:ascii="Arial" w:cs="Arial" w:eastAsia="Arial" w:hAnsi="Arial"/>
                <w:sz w:val="10"/>
                <w:szCs w:val="10"/>
                <w:color w:val="auto"/>
              </w:rPr>
              <w:t>2019</w:t>
            </w:r>
          </w:p>
        </w:tc>
        <w:tc>
          <w:tcPr>
            <w:tcW w:w="600" w:type="dxa"/>
            <w:vAlign w:val="bottom"/>
          </w:tcPr>
          <w:p>
            <w:pPr>
              <w:jc w:val="right"/>
              <w:ind w:right="88"/>
              <w:spacing w:after="0"/>
              <w:rPr>
                <w:sz w:val="20"/>
                <w:szCs w:val="20"/>
                <w:color w:val="auto"/>
              </w:rPr>
            </w:pPr>
            <w:r>
              <w:rPr>
                <w:rFonts w:ascii="Arial" w:cs="Arial" w:eastAsia="Arial" w:hAnsi="Arial"/>
                <w:sz w:val="10"/>
                <w:szCs w:val="10"/>
                <w:color w:val="auto"/>
              </w:rPr>
              <w:t>720,000</w:t>
            </w: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88"/>
              <w:spacing w:after="0"/>
              <w:rPr>
                <w:sz w:val="20"/>
                <w:szCs w:val="20"/>
                <w:color w:val="auto"/>
              </w:rPr>
            </w:pPr>
            <w:r>
              <w:rPr>
                <w:rFonts w:ascii="Arial" w:cs="Arial" w:eastAsia="Arial" w:hAnsi="Arial"/>
                <w:sz w:val="10"/>
                <w:szCs w:val="10"/>
                <w:color w:val="auto"/>
              </w:rPr>
              <w:t>4,121,410</w:t>
            </w:r>
          </w:p>
        </w:tc>
        <w:tc>
          <w:tcPr>
            <w:tcW w:w="1460" w:type="dxa"/>
            <w:vAlign w:val="bottom"/>
          </w:tcPr>
          <w:p>
            <w:pPr>
              <w:jc w:val="right"/>
              <w:ind w:right="188"/>
              <w:spacing w:after="0"/>
              <w:rPr>
                <w:sz w:val="20"/>
                <w:szCs w:val="20"/>
                <w:color w:val="auto"/>
              </w:rPr>
            </w:pPr>
            <w:r>
              <w:rPr>
                <w:rFonts w:ascii="Arial" w:cs="Arial" w:eastAsia="Arial" w:hAnsi="Arial"/>
                <w:sz w:val="10"/>
                <w:szCs w:val="10"/>
                <w:color w:val="auto"/>
              </w:rPr>
              <w:t>1,304,453</w:t>
            </w:r>
          </w:p>
        </w:tc>
        <w:tc>
          <w:tcPr>
            <w:tcW w:w="1480" w:type="dxa"/>
            <w:vAlign w:val="bottom"/>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tcPr>
          <w:p>
            <w:pPr>
              <w:jc w:val="right"/>
              <w:ind w:right="189"/>
              <w:spacing w:after="0"/>
              <w:rPr>
                <w:sz w:val="20"/>
                <w:szCs w:val="20"/>
                <w:color w:val="auto"/>
              </w:rPr>
            </w:pPr>
            <w:r>
              <w:rPr>
                <w:rFonts w:ascii="Arial" w:cs="Arial" w:eastAsia="Arial" w:hAnsi="Arial"/>
                <w:sz w:val="10"/>
                <w:szCs w:val="10"/>
                <w:color w:val="auto"/>
              </w:rPr>
              <w:t>49,354</w:t>
            </w:r>
          </w:p>
        </w:tc>
        <w:tc>
          <w:tcPr>
            <w:tcW w:w="560" w:type="dxa"/>
            <w:vAlign w:val="bottom"/>
          </w:tcPr>
          <w:p>
            <w:pPr>
              <w:jc w:val="right"/>
              <w:spacing w:after="0"/>
              <w:rPr>
                <w:sz w:val="20"/>
                <w:szCs w:val="20"/>
                <w:color w:val="auto"/>
              </w:rPr>
            </w:pPr>
            <w:r>
              <w:rPr>
                <w:rFonts w:ascii="Arial" w:cs="Arial" w:eastAsia="Arial" w:hAnsi="Arial"/>
                <w:sz w:val="10"/>
                <w:szCs w:val="10"/>
                <w:color w:val="auto"/>
              </w:rPr>
              <w:t>6,195,217</w:t>
            </w:r>
          </w:p>
        </w:tc>
      </w:tr>
      <w:tr>
        <w:trPr>
          <w:trHeight w:val="113"/>
        </w:trPr>
        <w:tc>
          <w:tcPr>
            <w:tcW w:w="3760" w:type="dxa"/>
            <w:vAlign w:val="bottom"/>
          </w:tcPr>
          <w:p>
            <w:pPr>
              <w:spacing w:after="0"/>
              <w:rPr>
                <w:sz w:val="9"/>
                <w:szCs w:val="9"/>
                <w:color w:val="auto"/>
              </w:rPr>
            </w:pPr>
          </w:p>
        </w:tc>
        <w:tc>
          <w:tcPr>
            <w:tcW w:w="520" w:type="dxa"/>
            <w:vAlign w:val="bottom"/>
          </w:tcPr>
          <w:p>
            <w:pPr>
              <w:ind w:left="180"/>
              <w:spacing w:after="0" w:line="114" w:lineRule="exact"/>
              <w:rPr>
                <w:sz w:val="20"/>
                <w:szCs w:val="20"/>
                <w:color w:val="auto"/>
              </w:rPr>
            </w:pPr>
            <w:r>
              <w:rPr>
                <w:rFonts w:ascii="Arial" w:cs="Arial" w:eastAsia="Arial" w:hAnsi="Arial"/>
                <w:sz w:val="10"/>
                <w:szCs w:val="10"/>
                <w:color w:val="auto"/>
              </w:rPr>
              <w:t>2018</w:t>
            </w:r>
          </w:p>
        </w:tc>
        <w:tc>
          <w:tcPr>
            <w:tcW w:w="600" w:type="dxa"/>
            <w:vAlign w:val="bottom"/>
          </w:tcPr>
          <w:p>
            <w:pPr>
              <w:jc w:val="right"/>
              <w:ind w:right="88"/>
              <w:spacing w:after="0" w:line="114" w:lineRule="exact"/>
              <w:rPr>
                <w:sz w:val="20"/>
                <w:szCs w:val="20"/>
                <w:color w:val="auto"/>
              </w:rPr>
            </w:pPr>
            <w:r>
              <w:rPr>
                <w:rFonts w:ascii="Arial" w:cs="Arial" w:eastAsia="Arial" w:hAnsi="Arial"/>
                <w:sz w:val="10"/>
                <w:szCs w:val="10"/>
                <w:color w:val="auto"/>
              </w:rPr>
              <w:t>720,000</w:t>
            </w:r>
          </w:p>
        </w:tc>
        <w:tc>
          <w:tcPr>
            <w:tcW w:w="520" w:type="dxa"/>
            <w:vAlign w:val="bottom"/>
          </w:tcPr>
          <w:p>
            <w:pPr>
              <w:jc w:val="right"/>
              <w:ind w:right="49"/>
              <w:spacing w:after="0" w:line="114"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188"/>
              <w:spacing w:after="0" w:line="114" w:lineRule="exact"/>
              <w:rPr>
                <w:sz w:val="20"/>
                <w:szCs w:val="20"/>
                <w:color w:val="auto"/>
              </w:rPr>
            </w:pPr>
            <w:r>
              <w:rPr>
                <w:rFonts w:ascii="Arial" w:cs="Arial" w:eastAsia="Arial" w:hAnsi="Arial"/>
                <w:sz w:val="10"/>
                <w:szCs w:val="10"/>
                <w:color w:val="auto"/>
              </w:rPr>
              <w:t>3,791,277</w:t>
            </w:r>
          </w:p>
        </w:tc>
        <w:tc>
          <w:tcPr>
            <w:tcW w:w="1460" w:type="dxa"/>
            <w:vAlign w:val="bottom"/>
          </w:tcPr>
          <w:p>
            <w:pPr>
              <w:jc w:val="right"/>
              <w:ind w:right="188"/>
              <w:spacing w:after="0" w:line="114" w:lineRule="exact"/>
              <w:rPr>
                <w:sz w:val="20"/>
                <w:szCs w:val="20"/>
                <w:color w:val="auto"/>
              </w:rPr>
            </w:pPr>
            <w:r>
              <w:rPr>
                <w:rFonts w:ascii="Arial" w:cs="Arial" w:eastAsia="Arial" w:hAnsi="Arial"/>
                <w:sz w:val="10"/>
                <w:szCs w:val="10"/>
                <w:color w:val="auto"/>
              </w:rPr>
              <w:t>532,748</w:t>
            </w:r>
          </w:p>
        </w:tc>
        <w:tc>
          <w:tcPr>
            <w:tcW w:w="1480" w:type="dxa"/>
            <w:vAlign w:val="bottom"/>
          </w:tcPr>
          <w:p>
            <w:pPr>
              <w:jc w:val="right"/>
              <w:ind w:right="188"/>
              <w:spacing w:after="0" w:line="114" w:lineRule="exact"/>
              <w:rPr>
                <w:sz w:val="20"/>
                <w:szCs w:val="20"/>
                <w:color w:val="auto"/>
              </w:rPr>
            </w:pPr>
            <w:r>
              <w:rPr>
                <w:rFonts w:ascii="Arial" w:cs="Arial" w:eastAsia="Arial" w:hAnsi="Arial"/>
                <w:sz w:val="10"/>
                <w:szCs w:val="10"/>
                <w:color w:val="auto"/>
              </w:rPr>
              <w:t>—</w:t>
            </w:r>
          </w:p>
        </w:tc>
        <w:tc>
          <w:tcPr>
            <w:tcW w:w="1480" w:type="dxa"/>
            <w:vAlign w:val="bottom"/>
          </w:tcPr>
          <w:p>
            <w:pPr>
              <w:jc w:val="right"/>
              <w:ind w:right="189"/>
              <w:spacing w:after="0" w:line="114" w:lineRule="exact"/>
              <w:rPr>
                <w:sz w:val="20"/>
                <w:szCs w:val="20"/>
                <w:color w:val="auto"/>
              </w:rPr>
            </w:pPr>
            <w:r>
              <w:rPr>
                <w:rFonts w:ascii="Arial" w:cs="Arial" w:eastAsia="Arial" w:hAnsi="Arial"/>
                <w:sz w:val="10"/>
                <w:szCs w:val="10"/>
                <w:color w:val="auto"/>
              </w:rPr>
              <w:t>61,484</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5,105,509</w:t>
            </w:r>
          </w:p>
        </w:tc>
      </w:tr>
      <w:tr>
        <w:trPr>
          <w:trHeight w:val="292"/>
        </w:trPr>
        <w:tc>
          <w:tcPr>
            <w:tcW w:w="3760" w:type="dxa"/>
            <w:vAlign w:val="bottom"/>
            <w:shd w:val="clear" w:color="auto" w:fill="F2F7FE"/>
          </w:tcPr>
          <w:p>
            <w:pPr>
              <w:spacing w:after="0"/>
              <w:rPr>
                <w:sz w:val="20"/>
                <w:szCs w:val="20"/>
                <w:color w:val="auto"/>
              </w:rPr>
            </w:pPr>
            <w:r>
              <w:rPr>
                <w:rFonts w:ascii="Arial" w:cs="Arial" w:eastAsia="Arial" w:hAnsi="Arial"/>
                <w:sz w:val="10"/>
                <w:szCs w:val="10"/>
                <w:b w:val="1"/>
                <w:bCs w:val="1"/>
                <w:color w:val="auto"/>
              </w:rPr>
              <w:t>Maurizio Nicolelli</w:t>
            </w:r>
          </w:p>
        </w:tc>
        <w:tc>
          <w:tcPr>
            <w:tcW w:w="520" w:type="dxa"/>
            <w:vAlign w:val="bottom"/>
            <w:shd w:val="clear" w:color="auto" w:fill="F2F7FE"/>
          </w:tcPr>
          <w:p>
            <w:pPr>
              <w:ind w:left="180"/>
              <w:spacing w:after="0"/>
              <w:rPr>
                <w:sz w:val="20"/>
                <w:szCs w:val="20"/>
                <w:color w:val="auto"/>
              </w:rPr>
            </w:pPr>
            <w:r>
              <w:rPr>
                <w:rFonts w:ascii="Arial" w:cs="Arial" w:eastAsia="Arial" w:hAnsi="Arial"/>
                <w:sz w:val="10"/>
                <w:szCs w:val="10"/>
                <w:color w:val="auto"/>
              </w:rPr>
              <w:t>2020</w:t>
            </w:r>
          </w:p>
        </w:tc>
        <w:tc>
          <w:tcPr>
            <w:tcW w:w="600" w:type="dxa"/>
            <w:vAlign w:val="bottom"/>
            <w:shd w:val="clear" w:color="auto" w:fill="F2F7FE"/>
          </w:tcPr>
          <w:p>
            <w:pPr>
              <w:jc w:val="right"/>
              <w:ind w:right="88"/>
              <w:spacing w:after="0"/>
              <w:rPr>
                <w:sz w:val="20"/>
                <w:szCs w:val="20"/>
                <w:color w:val="auto"/>
              </w:rPr>
            </w:pPr>
            <w:r>
              <w:rPr>
                <w:rFonts w:ascii="Arial" w:cs="Arial" w:eastAsia="Arial" w:hAnsi="Arial"/>
                <w:sz w:val="10"/>
                <w:szCs w:val="10"/>
                <w:color w:val="auto"/>
              </w:rPr>
              <w:t>384,283</w:t>
            </w:r>
          </w:p>
        </w:tc>
        <w:tc>
          <w:tcPr>
            <w:tcW w:w="520" w:type="dxa"/>
            <w:vAlign w:val="bottom"/>
            <w:shd w:val="clear" w:color="auto" w:fill="F2F7FE"/>
          </w:tcPr>
          <w:p>
            <w:pPr>
              <w:jc w:val="right"/>
              <w:ind w:right="49"/>
              <w:spacing w:after="0"/>
              <w:rPr>
                <w:sz w:val="20"/>
                <w:szCs w:val="20"/>
                <w:color w:val="auto"/>
              </w:rPr>
            </w:pPr>
            <w:r>
              <w:rPr>
                <w:rFonts w:ascii="Arial" w:cs="Arial" w:eastAsia="Arial" w:hAnsi="Arial"/>
                <w:sz w:val="10"/>
                <w:szCs w:val="10"/>
                <w:color w:val="auto"/>
              </w:rPr>
              <w:t>125,000</w:t>
            </w:r>
          </w:p>
        </w:tc>
        <w:tc>
          <w:tcPr>
            <w:tcW w:w="80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1,166,955</w:t>
            </w:r>
          </w:p>
        </w:tc>
        <w:tc>
          <w:tcPr>
            <w:tcW w:w="146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243,097</w:t>
            </w:r>
          </w:p>
        </w:tc>
        <w:tc>
          <w:tcPr>
            <w:tcW w:w="148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shd w:val="clear" w:color="auto" w:fill="F2F7FE"/>
          </w:tcPr>
          <w:p>
            <w:pPr>
              <w:jc w:val="right"/>
              <w:ind w:right="89"/>
              <w:spacing w:after="0"/>
              <w:rPr>
                <w:sz w:val="20"/>
                <w:szCs w:val="20"/>
                <w:color w:val="auto"/>
              </w:rPr>
            </w:pPr>
            <w:r>
              <w:rPr>
                <w:rFonts w:ascii="Arial" w:cs="Arial" w:eastAsia="Arial" w:hAnsi="Arial"/>
                <w:sz w:val="10"/>
                <w:szCs w:val="10"/>
                <w:color w:val="auto"/>
              </w:rPr>
              <w:t>8,970</w:t>
            </w:r>
            <w:r>
              <w:rPr>
                <w:rFonts w:ascii="Arial" w:cs="Arial" w:eastAsia="Arial" w:hAnsi="Arial"/>
                <w:sz w:val="15"/>
                <w:szCs w:val="15"/>
                <w:color w:val="auto"/>
                <w:vertAlign w:val="superscript"/>
              </w:rPr>
              <w:t>(8)</w:t>
            </w:r>
          </w:p>
        </w:tc>
        <w:tc>
          <w:tcPr>
            <w:tcW w:w="560" w:type="dxa"/>
            <w:vAlign w:val="bottom"/>
            <w:shd w:val="clear" w:color="auto" w:fill="F2F7FE"/>
          </w:tcPr>
          <w:p>
            <w:pPr>
              <w:jc w:val="right"/>
              <w:spacing w:after="0"/>
              <w:rPr>
                <w:sz w:val="20"/>
                <w:szCs w:val="20"/>
                <w:color w:val="auto"/>
              </w:rPr>
            </w:pPr>
            <w:r>
              <w:rPr>
                <w:rFonts w:ascii="Arial" w:cs="Arial" w:eastAsia="Arial" w:hAnsi="Arial"/>
                <w:sz w:val="10"/>
                <w:szCs w:val="10"/>
                <w:color w:val="auto"/>
              </w:rPr>
              <w:t>1,928,305</w:t>
            </w:r>
          </w:p>
        </w:tc>
      </w:tr>
      <w:tr>
        <w:trPr>
          <w:trHeight w:val="117"/>
        </w:trPr>
        <w:tc>
          <w:tcPr>
            <w:tcW w:w="3760" w:type="dxa"/>
            <w:vAlign w:val="bottom"/>
            <w:shd w:val="clear" w:color="auto" w:fill="F2F7FE"/>
          </w:tcPr>
          <w:p>
            <w:pPr>
              <w:spacing w:after="0"/>
              <w:rPr>
                <w:sz w:val="20"/>
                <w:szCs w:val="20"/>
                <w:color w:val="auto"/>
              </w:rPr>
            </w:pPr>
            <w:r>
              <w:rPr>
                <w:rFonts w:ascii="Arial" w:cs="Arial" w:eastAsia="Arial" w:hAnsi="Arial"/>
                <w:sz w:val="10"/>
                <w:szCs w:val="10"/>
                <w:color w:val="auto"/>
              </w:rPr>
              <w:t>Executive Vice President and CFO</w:t>
            </w:r>
          </w:p>
        </w:tc>
        <w:tc>
          <w:tcPr>
            <w:tcW w:w="520" w:type="dxa"/>
            <w:vAlign w:val="bottom"/>
            <w:shd w:val="clear" w:color="auto" w:fill="F2F7FE"/>
          </w:tcPr>
          <w:p>
            <w:pPr>
              <w:ind w:left="180"/>
              <w:spacing w:after="0"/>
              <w:rPr>
                <w:sz w:val="20"/>
                <w:szCs w:val="20"/>
                <w:color w:val="auto"/>
              </w:rPr>
            </w:pPr>
            <w:r>
              <w:rPr>
                <w:rFonts w:ascii="Arial" w:cs="Arial" w:eastAsia="Arial" w:hAnsi="Arial"/>
                <w:sz w:val="10"/>
                <w:szCs w:val="10"/>
                <w:color w:val="auto"/>
              </w:rPr>
              <w:t>2019</w:t>
            </w:r>
          </w:p>
        </w:tc>
        <w:tc>
          <w:tcPr>
            <w:tcW w:w="600" w:type="dxa"/>
            <w:vAlign w:val="bottom"/>
            <w:shd w:val="clear" w:color="auto" w:fill="F2F7FE"/>
          </w:tcPr>
          <w:p>
            <w:pPr>
              <w:jc w:val="right"/>
              <w:ind w:right="88"/>
              <w:spacing w:after="0"/>
              <w:rPr>
                <w:sz w:val="20"/>
                <w:szCs w:val="20"/>
                <w:color w:val="auto"/>
              </w:rPr>
            </w:pPr>
            <w:r>
              <w:rPr>
                <w:rFonts w:ascii="Arial" w:cs="Arial" w:eastAsia="Arial" w:hAnsi="Arial"/>
                <w:sz w:val="10"/>
                <w:szCs w:val="10"/>
                <w:color w:val="auto"/>
              </w:rPr>
              <w:t>—</w:t>
            </w:r>
          </w:p>
        </w:tc>
        <w:tc>
          <w:tcPr>
            <w:tcW w:w="520" w:type="dxa"/>
            <w:vAlign w:val="bottom"/>
            <w:shd w:val="clear" w:color="auto" w:fill="F2F7FE"/>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6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shd w:val="clear" w:color="auto" w:fill="F2F7FE"/>
          </w:tcPr>
          <w:p>
            <w:pPr>
              <w:jc w:val="right"/>
              <w:ind w:right="189"/>
              <w:spacing w:after="0"/>
              <w:rPr>
                <w:sz w:val="20"/>
                <w:szCs w:val="20"/>
                <w:color w:val="auto"/>
              </w:rPr>
            </w:pPr>
            <w:r>
              <w:rPr>
                <w:rFonts w:ascii="Arial" w:cs="Arial" w:eastAsia="Arial" w:hAnsi="Arial"/>
                <w:sz w:val="10"/>
                <w:szCs w:val="10"/>
                <w:color w:val="auto"/>
              </w:rPr>
              <w:t>—</w:t>
            </w:r>
          </w:p>
        </w:tc>
        <w:tc>
          <w:tcPr>
            <w:tcW w:w="560" w:type="dxa"/>
            <w:vAlign w:val="bottom"/>
            <w:shd w:val="clear" w:color="auto" w:fill="F2F7FE"/>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3760" w:type="dxa"/>
            <w:vAlign w:val="bottom"/>
            <w:shd w:val="clear" w:color="auto" w:fill="F2F7FE"/>
          </w:tcPr>
          <w:p>
            <w:pPr>
              <w:spacing w:after="0"/>
              <w:rPr>
                <w:sz w:val="10"/>
                <w:szCs w:val="10"/>
                <w:color w:val="auto"/>
              </w:rPr>
            </w:pPr>
          </w:p>
        </w:tc>
        <w:tc>
          <w:tcPr>
            <w:tcW w:w="520" w:type="dxa"/>
            <w:vAlign w:val="bottom"/>
            <w:shd w:val="clear" w:color="auto" w:fill="F2F7FE"/>
          </w:tcPr>
          <w:p>
            <w:pPr>
              <w:ind w:left="180"/>
              <w:spacing w:after="0"/>
              <w:rPr>
                <w:sz w:val="20"/>
                <w:szCs w:val="20"/>
                <w:color w:val="auto"/>
              </w:rPr>
            </w:pPr>
            <w:r>
              <w:rPr>
                <w:rFonts w:ascii="Arial" w:cs="Arial" w:eastAsia="Arial" w:hAnsi="Arial"/>
                <w:sz w:val="10"/>
                <w:szCs w:val="10"/>
                <w:color w:val="auto"/>
              </w:rPr>
              <w:t>2018</w:t>
            </w:r>
          </w:p>
        </w:tc>
        <w:tc>
          <w:tcPr>
            <w:tcW w:w="600" w:type="dxa"/>
            <w:vAlign w:val="bottom"/>
            <w:shd w:val="clear" w:color="auto" w:fill="F2F7FE"/>
          </w:tcPr>
          <w:p>
            <w:pPr>
              <w:jc w:val="right"/>
              <w:ind w:right="88"/>
              <w:spacing w:after="0"/>
              <w:rPr>
                <w:sz w:val="20"/>
                <w:szCs w:val="20"/>
                <w:color w:val="auto"/>
              </w:rPr>
            </w:pPr>
            <w:r>
              <w:rPr>
                <w:rFonts w:ascii="Arial" w:cs="Arial" w:eastAsia="Arial" w:hAnsi="Arial"/>
                <w:sz w:val="10"/>
                <w:szCs w:val="10"/>
                <w:color w:val="auto"/>
              </w:rPr>
              <w:t>—</w:t>
            </w:r>
          </w:p>
        </w:tc>
        <w:tc>
          <w:tcPr>
            <w:tcW w:w="520" w:type="dxa"/>
            <w:vAlign w:val="bottom"/>
            <w:shd w:val="clear" w:color="auto" w:fill="F2F7FE"/>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6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shd w:val="clear" w:color="auto" w:fill="F2F7FE"/>
          </w:tcPr>
          <w:p>
            <w:pPr>
              <w:jc w:val="right"/>
              <w:ind w:right="189"/>
              <w:spacing w:after="0"/>
              <w:rPr>
                <w:sz w:val="20"/>
                <w:szCs w:val="20"/>
                <w:color w:val="auto"/>
              </w:rPr>
            </w:pPr>
            <w:r>
              <w:rPr>
                <w:rFonts w:ascii="Arial" w:cs="Arial" w:eastAsia="Arial" w:hAnsi="Arial"/>
                <w:sz w:val="10"/>
                <w:szCs w:val="10"/>
                <w:color w:val="auto"/>
              </w:rPr>
              <w:t>—</w:t>
            </w:r>
          </w:p>
        </w:tc>
        <w:tc>
          <w:tcPr>
            <w:tcW w:w="560" w:type="dxa"/>
            <w:vAlign w:val="bottom"/>
            <w:shd w:val="clear" w:color="auto" w:fill="F2F7FE"/>
          </w:tcPr>
          <w:p>
            <w:pPr>
              <w:jc w:val="right"/>
              <w:spacing w:after="0"/>
              <w:rPr>
                <w:sz w:val="20"/>
                <w:szCs w:val="20"/>
                <w:color w:val="auto"/>
              </w:rPr>
            </w:pPr>
            <w:r>
              <w:rPr>
                <w:rFonts w:ascii="Arial" w:cs="Arial" w:eastAsia="Arial" w:hAnsi="Arial"/>
                <w:sz w:val="10"/>
                <w:szCs w:val="10"/>
                <w:color w:val="auto"/>
              </w:rPr>
              <w:t>—</w:t>
            </w:r>
          </w:p>
        </w:tc>
      </w:tr>
      <w:tr>
        <w:trPr>
          <w:trHeight w:val="295"/>
        </w:trPr>
        <w:tc>
          <w:tcPr>
            <w:tcW w:w="3760" w:type="dxa"/>
            <w:vAlign w:val="bottom"/>
          </w:tcPr>
          <w:p>
            <w:pPr>
              <w:spacing w:after="0"/>
              <w:rPr>
                <w:sz w:val="20"/>
                <w:szCs w:val="20"/>
                <w:color w:val="auto"/>
              </w:rPr>
            </w:pPr>
            <w:r>
              <w:rPr>
                <w:rFonts w:ascii="Arial" w:cs="Arial" w:eastAsia="Arial" w:hAnsi="Arial"/>
                <w:sz w:val="10"/>
                <w:szCs w:val="10"/>
                <w:b w:val="1"/>
                <w:bCs w:val="1"/>
                <w:color w:val="auto"/>
              </w:rPr>
              <w:t>Pavan Bagai</w:t>
            </w:r>
          </w:p>
        </w:tc>
        <w:tc>
          <w:tcPr>
            <w:tcW w:w="520" w:type="dxa"/>
            <w:vAlign w:val="bottom"/>
          </w:tcPr>
          <w:p>
            <w:pPr>
              <w:ind w:left="180"/>
              <w:spacing w:after="0"/>
              <w:rPr>
                <w:sz w:val="20"/>
                <w:szCs w:val="20"/>
                <w:color w:val="auto"/>
              </w:rPr>
            </w:pPr>
            <w:r>
              <w:rPr>
                <w:rFonts w:ascii="Arial" w:cs="Arial" w:eastAsia="Arial" w:hAnsi="Arial"/>
                <w:sz w:val="10"/>
                <w:szCs w:val="10"/>
                <w:color w:val="auto"/>
              </w:rPr>
              <w:t>2020</w:t>
            </w:r>
          </w:p>
        </w:tc>
        <w:tc>
          <w:tcPr>
            <w:tcW w:w="600" w:type="dxa"/>
            <w:vAlign w:val="bottom"/>
          </w:tcPr>
          <w:p>
            <w:pPr>
              <w:jc w:val="right"/>
              <w:spacing w:after="0"/>
              <w:rPr>
                <w:sz w:val="20"/>
                <w:szCs w:val="20"/>
                <w:color w:val="auto"/>
              </w:rPr>
            </w:pPr>
            <w:r>
              <w:rPr>
                <w:rFonts w:ascii="Arial" w:cs="Arial" w:eastAsia="Arial" w:hAnsi="Arial"/>
                <w:sz w:val="10"/>
                <w:szCs w:val="10"/>
                <w:color w:val="auto"/>
              </w:rPr>
              <w:t>300,977</w:t>
            </w:r>
            <w:r>
              <w:rPr>
                <w:rFonts w:ascii="Arial" w:cs="Arial" w:eastAsia="Arial" w:hAnsi="Arial"/>
                <w:sz w:val="15"/>
                <w:szCs w:val="15"/>
                <w:color w:val="auto"/>
                <w:vertAlign w:val="superscript"/>
              </w:rPr>
              <w:t>(2)</w:t>
            </w: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88"/>
              <w:spacing w:after="0"/>
              <w:rPr>
                <w:sz w:val="20"/>
                <w:szCs w:val="20"/>
                <w:color w:val="auto"/>
              </w:rPr>
            </w:pPr>
            <w:r>
              <w:rPr>
                <w:rFonts w:ascii="Arial" w:cs="Arial" w:eastAsia="Arial" w:hAnsi="Arial"/>
                <w:sz w:val="10"/>
                <w:szCs w:val="10"/>
                <w:color w:val="auto"/>
              </w:rPr>
              <w:t>1,693,173</w:t>
            </w:r>
          </w:p>
        </w:tc>
        <w:tc>
          <w:tcPr>
            <w:tcW w:w="1460" w:type="dxa"/>
            <w:vAlign w:val="bottom"/>
          </w:tcPr>
          <w:p>
            <w:pPr>
              <w:jc w:val="right"/>
              <w:ind w:right="188"/>
              <w:spacing w:after="0"/>
              <w:rPr>
                <w:sz w:val="20"/>
                <w:szCs w:val="20"/>
                <w:color w:val="auto"/>
              </w:rPr>
            </w:pPr>
            <w:r>
              <w:rPr>
                <w:rFonts w:ascii="Arial" w:cs="Arial" w:eastAsia="Arial" w:hAnsi="Arial"/>
                <w:sz w:val="10"/>
                <w:szCs w:val="10"/>
                <w:color w:val="auto"/>
              </w:rPr>
              <w:t>200,164</w:t>
            </w:r>
          </w:p>
        </w:tc>
        <w:tc>
          <w:tcPr>
            <w:tcW w:w="1480" w:type="dxa"/>
            <w:vAlign w:val="bottom"/>
          </w:tcPr>
          <w:p>
            <w:pPr>
              <w:jc w:val="right"/>
              <w:ind w:right="188"/>
              <w:spacing w:after="0"/>
              <w:rPr>
                <w:sz w:val="20"/>
                <w:szCs w:val="20"/>
                <w:color w:val="auto"/>
              </w:rPr>
            </w:pPr>
            <w:r>
              <w:rPr>
                <w:rFonts w:ascii="Arial" w:cs="Arial" w:eastAsia="Arial" w:hAnsi="Arial"/>
                <w:sz w:val="10"/>
                <w:szCs w:val="10"/>
                <w:color w:val="auto"/>
              </w:rPr>
              <w:t>5,988</w:t>
            </w:r>
          </w:p>
        </w:tc>
        <w:tc>
          <w:tcPr>
            <w:tcW w:w="1480" w:type="dxa"/>
            <w:vAlign w:val="bottom"/>
          </w:tcPr>
          <w:p>
            <w:pPr>
              <w:jc w:val="right"/>
              <w:ind w:right="89"/>
              <w:spacing w:after="0"/>
              <w:rPr>
                <w:sz w:val="20"/>
                <w:szCs w:val="20"/>
                <w:color w:val="auto"/>
              </w:rPr>
            </w:pPr>
            <w:r>
              <w:rPr>
                <w:rFonts w:ascii="Arial" w:cs="Arial" w:eastAsia="Arial" w:hAnsi="Arial"/>
                <w:sz w:val="10"/>
                <w:szCs w:val="10"/>
                <w:color w:val="auto"/>
              </w:rPr>
              <w:t>14,145</w:t>
            </w:r>
            <w:r>
              <w:rPr>
                <w:rFonts w:ascii="Arial" w:cs="Arial" w:eastAsia="Arial" w:hAnsi="Arial"/>
                <w:sz w:val="15"/>
                <w:szCs w:val="15"/>
                <w:color w:val="auto"/>
                <w:vertAlign w:val="superscript"/>
              </w:rPr>
              <w:t>(9)</w:t>
            </w:r>
          </w:p>
        </w:tc>
        <w:tc>
          <w:tcPr>
            <w:tcW w:w="560" w:type="dxa"/>
            <w:vAlign w:val="bottom"/>
          </w:tcPr>
          <w:p>
            <w:pPr>
              <w:jc w:val="right"/>
              <w:spacing w:after="0"/>
              <w:rPr>
                <w:sz w:val="20"/>
                <w:szCs w:val="20"/>
                <w:color w:val="auto"/>
              </w:rPr>
            </w:pPr>
            <w:r>
              <w:rPr>
                <w:rFonts w:ascii="Arial" w:cs="Arial" w:eastAsia="Arial" w:hAnsi="Arial"/>
                <w:sz w:val="10"/>
                <w:szCs w:val="10"/>
                <w:color w:val="auto"/>
              </w:rPr>
              <w:t>2,214,447</w:t>
            </w:r>
          </w:p>
        </w:tc>
      </w:tr>
      <w:tr>
        <w:trPr>
          <w:trHeight w:val="111"/>
        </w:trPr>
        <w:tc>
          <w:tcPr>
            <w:tcW w:w="3760" w:type="dxa"/>
            <w:vAlign w:val="bottom"/>
          </w:tcPr>
          <w:p>
            <w:pPr>
              <w:spacing w:after="0" w:line="111" w:lineRule="exact"/>
              <w:rPr>
                <w:sz w:val="20"/>
                <w:szCs w:val="20"/>
                <w:color w:val="auto"/>
              </w:rPr>
            </w:pPr>
            <w:r>
              <w:rPr>
                <w:rFonts w:ascii="Arial" w:cs="Arial" w:eastAsia="Arial" w:hAnsi="Arial"/>
                <w:sz w:val="10"/>
                <w:szCs w:val="10"/>
                <w:color w:val="auto"/>
              </w:rPr>
              <w:t>President &amp; Chief Operating Officer and</w:t>
            </w:r>
          </w:p>
        </w:tc>
        <w:tc>
          <w:tcPr>
            <w:tcW w:w="520" w:type="dxa"/>
            <w:vAlign w:val="bottom"/>
          </w:tcPr>
          <w:p>
            <w:pPr>
              <w:ind w:left="180"/>
              <w:spacing w:after="0" w:line="111" w:lineRule="exact"/>
              <w:rPr>
                <w:sz w:val="20"/>
                <w:szCs w:val="20"/>
                <w:color w:val="auto"/>
              </w:rPr>
            </w:pPr>
            <w:r>
              <w:rPr>
                <w:rFonts w:ascii="Arial" w:cs="Arial" w:eastAsia="Arial" w:hAnsi="Arial"/>
                <w:sz w:val="10"/>
                <w:szCs w:val="10"/>
                <w:color w:val="auto"/>
              </w:rPr>
              <w:t>2019</w:t>
            </w:r>
          </w:p>
        </w:tc>
        <w:tc>
          <w:tcPr>
            <w:tcW w:w="600" w:type="dxa"/>
            <w:vAlign w:val="bottom"/>
          </w:tcPr>
          <w:p>
            <w:pPr>
              <w:jc w:val="right"/>
              <w:ind w:right="88"/>
              <w:spacing w:after="0" w:line="111" w:lineRule="exact"/>
              <w:rPr>
                <w:sz w:val="20"/>
                <w:szCs w:val="20"/>
                <w:color w:val="auto"/>
              </w:rPr>
            </w:pPr>
            <w:r>
              <w:rPr>
                <w:rFonts w:ascii="Arial" w:cs="Arial" w:eastAsia="Arial" w:hAnsi="Arial"/>
                <w:sz w:val="10"/>
                <w:szCs w:val="10"/>
                <w:color w:val="auto"/>
              </w:rPr>
              <w:t>311,554</w:t>
            </w:r>
          </w:p>
        </w:tc>
        <w:tc>
          <w:tcPr>
            <w:tcW w:w="520" w:type="dxa"/>
            <w:vAlign w:val="bottom"/>
          </w:tcPr>
          <w:p>
            <w:pPr>
              <w:jc w:val="right"/>
              <w:ind w:right="49"/>
              <w:spacing w:after="0" w:line="111"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188"/>
              <w:spacing w:after="0" w:line="111" w:lineRule="exact"/>
              <w:rPr>
                <w:sz w:val="20"/>
                <w:szCs w:val="20"/>
                <w:color w:val="auto"/>
              </w:rPr>
            </w:pPr>
            <w:r>
              <w:rPr>
                <w:rFonts w:ascii="Arial" w:cs="Arial" w:eastAsia="Arial" w:hAnsi="Arial"/>
                <w:sz w:val="10"/>
                <w:szCs w:val="10"/>
                <w:color w:val="auto"/>
              </w:rPr>
              <w:t>1,557,454</w:t>
            </w:r>
          </w:p>
        </w:tc>
        <w:tc>
          <w:tcPr>
            <w:tcW w:w="1460" w:type="dxa"/>
            <w:vAlign w:val="bottom"/>
          </w:tcPr>
          <w:p>
            <w:pPr>
              <w:jc w:val="right"/>
              <w:ind w:right="188"/>
              <w:spacing w:after="0" w:line="111" w:lineRule="exact"/>
              <w:rPr>
                <w:sz w:val="20"/>
                <w:szCs w:val="20"/>
                <w:color w:val="auto"/>
              </w:rPr>
            </w:pPr>
            <w:r>
              <w:rPr>
                <w:rFonts w:ascii="Arial" w:cs="Arial" w:eastAsia="Arial" w:hAnsi="Arial"/>
                <w:sz w:val="10"/>
                <w:szCs w:val="10"/>
                <w:color w:val="auto"/>
              </w:rPr>
              <w:t>323,814</w:t>
            </w:r>
          </w:p>
        </w:tc>
        <w:tc>
          <w:tcPr>
            <w:tcW w:w="1480" w:type="dxa"/>
            <w:vAlign w:val="bottom"/>
          </w:tcPr>
          <w:p>
            <w:pPr>
              <w:jc w:val="right"/>
              <w:ind w:right="188"/>
              <w:spacing w:after="0" w:line="111" w:lineRule="exact"/>
              <w:rPr>
                <w:sz w:val="20"/>
                <w:szCs w:val="20"/>
                <w:color w:val="auto"/>
              </w:rPr>
            </w:pPr>
            <w:r>
              <w:rPr>
                <w:rFonts w:ascii="Arial" w:cs="Arial" w:eastAsia="Arial" w:hAnsi="Arial"/>
                <w:sz w:val="10"/>
                <w:szCs w:val="10"/>
                <w:color w:val="auto"/>
              </w:rPr>
              <w:t>6,129</w:t>
            </w:r>
          </w:p>
        </w:tc>
        <w:tc>
          <w:tcPr>
            <w:tcW w:w="1480" w:type="dxa"/>
            <w:vAlign w:val="bottom"/>
          </w:tcPr>
          <w:p>
            <w:pPr>
              <w:jc w:val="right"/>
              <w:ind w:right="189"/>
              <w:spacing w:after="0" w:line="111" w:lineRule="exact"/>
              <w:rPr>
                <w:sz w:val="20"/>
                <w:szCs w:val="20"/>
                <w:color w:val="auto"/>
              </w:rPr>
            </w:pPr>
            <w:r>
              <w:rPr>
                <w:rFonts w:ascii="Arial" w:cs="Arial" w:eastAsia="Arial" w:hAnsi="Arial"/>
                <w:sz w:val="10"/>
                <w:szCs w:val="10"/>
                <w:color w:val="auto"/>
              </w:rPr>
              <w:t>47,893</w:t>
            </w:r>
          </w:p>
        </w:tc>
        <w:tc>
          <w:tcPr>
            <w:tcW w:w="560" w:type="dxa"/>
            <w:vAlign w:val="bottom"/>
          </w:tcPr>
          <w:p>
            <w:pPr>
              <w:jc w:val="right"/>
              <w:spacing w:after="0" w:line="111" w:lineRule="exact"/>
              <w:rPr>
                <w:sz w:val="20"/>
                <w:szCs w:val="20"/>
                <w:color w:val="auto"/>
              </w:rPr>
            </w:pPr>
            <w:r>
              <w:rPr>
                <w:rFonts w:ascii="Arial" w:cs="Arial" w:eastAsia="Arial" w:hAnsi="Arial"/>
                <w:sz w:val="10"/>
                <w:szCs w:val="10"/>
                <w:color w:val="auto"/>
              </w:rPr>
              <w:t>2,246,845</w:t>
            </w:r>
          </w:p>
        </w:tc>
      </w:tr>
      <w:tr>
        <w:trPr>
          <w:trHeight w:val="139"/>
        </w:trPr>
        <w:tc>
          <w:tcPr>
            <w:tcW w:w="3760" w:type="dxa"/>
            <w:vAlign w:val="bottom"/>
          </w:tcPr>
          <w:p>
            <w:pPr>
              <w:spacing w:after="0" w:line="138" w:lineRule="exact"/>
              <w:rPr>
                <w:sz w:val="20"/>
                <w:szCs w:val="20"/>
                <w:color w:val="auto"/>
              </w:rPr>
            </w:pPr>
            <w:r>
              <w:rPr>
                <w:rFonts w:ascii="Arial" w:cs="Arial" w:eastAsia="Arial" w:hAnsi="Arial"/>
                <w:sz w:val="10"/>
                <w:szCs w:val="10"/>
                <w:color w:val="auto"/>
              </w:rPr>
              <w:t>Interim CFO</w:t>
            </w:r>
            <w:r>
              <w:rPr>
                <w:rFonts w:ascii="Arial" w:cs="Arial" w:eastAsia="Arial" w:hAnsi="Arial"/>
                <w:sz w:val="15"/>
                <w:szCs w:val="15"/>
                <w:color w:val="auto"/>
                <w:vertAlign w:val="superscript"/>
              </w:rPr>
              <w:t>(1)</w:t>
            </w:r>
          </w:p>
        </w:tc>
        <w:tc>
          <w:tcPr>
            <w:tcW w:w="520" w:type="dxa"/>
            <w:vAlign w:val="bottom"/>
          </w:tcPr>
          <w:p>
            <w:pPr>
              <w:ind w:left="180"/>
              <w:spacing w:after="0"/>
              <w:rPr>
                <w:sz w:val="20"/>
                <w:szCs w:val="20"/>
                <w:color w:val="auto"/>
              </w:rPr>
            </w:pPr>
            <w:r>
              <w:rPr>
                <w:rFonts w:ascii="Arial" w:cs="Arial" w:eastAsia="Arial" w:hAnsi="Arial"/>
                <w:sz w:val="10"/>
                <w:szCs w:val="10"/>
                <w:color w:val="auto"/>
              </w:rPr>
              <w:t>2018</w:t>
            </w:r>
          </w:p>
        </w:tc>
        <w:tc>
          <w:tcPr>
            <w:tcW w:w="600" w:type="dxa"/>
            <w:vAlign w:val="bottom"/>
          </w:tcPr>
          <w:p>
            <w:pPr>
              <w:jc w:val="right"/>
              <w:ind w:right="88"/>
              <w:spacing w:after="0"/>
              <w:rPr>
                <w:sz w:val="20"/>
                <w:szCs w:val="20"/>
                <w:color w:val="auto"/>
              </w:rPr>
            </w:pPr>
            <w:r>
              <w:rPr>
                <w:rFonts w:ascii="Arial" w:cs="Arial" w:eastAsia="Arial" w:hAnsi="Arial"/>
                <w:sz w:val="10"/>
                <w:szCs w:val="10"/>
                <w:color w:val="auto"/>
              </w:rPr>
              <w:t>301,448</w:t>
            </w: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88"/>
              <w:spacing w:after="0"/>
              <w:rPr>
                <w:sz w:val="20"/>
                <w:szCs w:val="20"/>
                <w:color w:val="auto"/>
              </w:rPr>
            </w:pPr>
            <w:r>
              <w:rPr>
                <w:rFonts w:ascii="Arial" w:cs="Arial" w:eastAsia="Arial" w:hAnsi="Arial"/>
                <w:sz w:val="10"/>
                <w:szCs w:val="10"/>
                <w:color w:val="auto"/>
              </w:rPr>
              <w:t>1,339,363</w:t>
            </w:r>
          </w:p>
        </w:tc>
        <w:tc>
          <w:tcPr>
            <w:tcW w:w="1460" w:type="dxa"/>
            <w:vAlign w:val="bottom"/>
          </w:tcPr>
          <w:p>
            <w:pPr>
              <w:jc w:val="right"/>
              <w:ind w:right="188"/>
              <w:spacing w:after="0"/>
              <w:rPr>
                <w:sz w:val="20"/>
                <w:szCs w:val="20"/>
                <w:color w:val="auto"/>
              </w:rPr>
            </w:pPr>
            <w:r>
              <w:rPr>
                <w:rFonts w:ascii="Arial" w:cs="Arial" w:eastAsia="Arial" w:hAnsi="Arial"/>
                <w:sz w:val="10"/>
                <w:szCs w:val="10"/>
                <w:color w:val="auto"/>
              </w:rPr>
              <w:t>133,946</w:t>
            </w:r>
          </w:p>
        </w:tc>
        <w:tc>
          <w:tcPr>
            <w:tcW w:w="1480" w:type="dxa"/>
            <w:vAlign w:val="bottom"/>
          </w:tcPr>
          <w:p>
            <w:pPr>
              <w:jc w:val="right"/>
              <w:ind w:right="188"/>
              <w:spacing w:after="0"/>
              <w:rPr>
                <w:sz w:val="20"/>
                <w:szCs w:val="20"/>
                <w:color w:val="auto"/>
              </w:rPr>
            </w:pPr>
            <w:r>
              <w:rPr>
                <w:rFonts w:ascii="Arial" w:cs="Arial" w:eastAsia="Arial" w:hAnsi="Arial"/>
                <w:sz w:val="10"/>
                <w:szCs w:val="10"/>
                <w:color w:val="auto"/>
              </w:rPr>
              <w:t>17,124</w:t>
            </w:r>
          </w:p>
        </w:tc>
        <w:tc>
          <w:tcPr>
            <w:tcW w:w="1480" w:type="dxa"/>
            <w:vAlign w:val="bottom"/>
          </w:tcPr>
          <w:p>
            <w:pPr>
              <w:jc w:val="right"/>
              <w:ind w:right="189"/>
              <w:spacing w:after="0"/>
              <w:rPr>
                <w:sz w:val="20"/>
                <w:szCs w:val="20"/>
                <w:color w:val="auto"/>
              </w:rPr>
            </w:pPr>
            <w:r>
              <w:rPr>
                <w:rFonts w:ascii="Arial" w:cs="Arial" w:eastAsia="Arial" w:hAnsi="Arial"/>
                <w:sz w:val="10"/>
                <w:szCs w:val="10"/>
                <w:color w:val="auto"/>
              </w:rPr>
              <w:t>57,284</w:t>
            </w:r>
          </w:p>
        </w:tc>
        <w:tc>
          <w:tcPr>
            <w:tcW w:w="560" w:type="dxa"/>
            <w:vAlign w:val="bottom"/>
          </w:tcPr>
          <w:p>
            <w:pPr>
              <w:jc w:val="right"/>
              <w:spacing w:after="0"/>
              <w:rPr>
                <w:sz w:val="20"/>
                <w:szCs w:val="20"/>
                <w:color w:val="auto"/>
              </w:rPr>
            </w:pPr>
            <w:r>
              <w:rPr>
                <w:rFonts w:ascii="Arial" w:cs="Arial" w:eastAsia="Arial" w:hAnsi="Arial"/>
                <w:sz w:val="10"/>
                <w:szCs w:val="10"/>
                <w:color w:val="auto"/>
              </w:rPr>
              <w:t>1,849,164</w:t>
            </w:r>
          </w:p>
        </w:tc>
      </w:tr>
      <w:tr>
        <w:trPr>
          <w:trHeight w:val="292"/>
        </w:trPr>
        <w:tc>
          <w:tcPr>
            <w:tcW w:w="3760" w:type="dxa"/>
            <w:vAlign w:val="bottom"/>
            <w:shd w:val="clear" w:color="auto" w:fill="F2F7FE"/>
          </w:tcPr>
          <w:p>
            <w:pPr>
              <w:spacing w:after="0"/>
              <w:rPr>
                <w:sz w:val="20"/>
                <w:szCs w:val="20"/>
                <w:color w:val="auto"/>
              </w:rPr>
            </w:pPr>
            <w:r>
              <w:rPr>
                <w:rFonts w:ascii="Arial" w:cs="Arial" w:eastAsia="Arial" w:hAnsi="Arial"/>
                <w:sz w:val="10"/>
                <w:szCs w:val="10"/>
                <w:b w:val="1"/>
                <w:bCs w:val="1"/>
                <w:color w:val="auto"/>
              </w:rPr>
              <w:t>Nalin Miglani</w:t>
            </w:r>
          </w:p>
        </w:tc>
        <w:tc>
          <w:tcPr>
            <w:tcW w:w="520" w:type="dxa"/>
            <w:vAlign w:val="bottom"/>
            <w:shd w:val="clear" w:color="auto" w:fill="F2F7FE"/>
          </w:tcPr>
          <w:p>
            <w:pPr>
              <w:ind w:left="180"/>
              <w:spacing w:after="0"/>
              <w:rPr>
                <w:sz w:val="20"/>
                <w:szCs w:val="20"/>
                <w:color w:val="auto"/>
              </w:rPr>
            </w:pPr>
            <w:r>
              <w:rPr>
                <w:rFonts w:ascii="Arial" w:cs="Arial" w:eastAsia="Arial" w:hAnsi="Arial"/>
                <w:sz w:val="10"/>
                <w:szCs w:val="10"/>
                <w:color w:val="auto"/>
              </w:rPr>
              <w:t>2020</w:t>
            </w:r>
          </w:p>
        </w:tc>
        <w:tc>
          <w:tcPr>
            <w:tcW w:w="600" w:type="dxa"/>
            <w:vAlign w:val="bottom"/>
            <w:shd w:val="clear" w:color="auto" w:fill="F2F7FE"/>
          </w:tcPr>
          <w:p>
            <w:pPr>
              <w:jc w:val="right"/>
              <w:ind w:right="88"/>
              <w:spacing w:after="0"/>
              <w:rPr>
                <w:sz w:val="20"/>
                <w:szCs w:val="20"/>
                <w:color w:val="auto"/>
              </w:rPr>
            </w:pPr>
            <w:r>
              <w:rPr>
                <w:rFonts w:ascii="Arial" w:cs="Arial" w:eastAsia="Arial" w:hAnsi="Arial"/>
                <w:sz w:val="10"/>
                <w:szCs w:val="10"/>
                <w:color w:val="auto"/>
              </w:rPr>
              <w:t>404,631</w:t>
            </w:r>
          </w:p>
        </w:tc>
        <w:tc>
          <w:tcPr>
            <w:tcW w:w="520" w:type="dxa"/>
            <w:vAlign w:val="bottom"/>
            <w:shd w:val="clear" w:color="auto" w:fill="F2F7FE"/>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1,179,065</w:t>
            </w:r>
          </w:p>
        </w:tc>
        <w:tc>
          <w:tcPr>
            <w:tcW w:w="146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253,125</w:t>
            </w:r>
          </w:p>
        </w:tc>
        <w:tc>
          <w:tcPr>
            <w:tcW w:w="148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shd w:val="clear" w:color="auto" w:fill="F2F7FE"/>
          </w:tcPr>
          <w:p>
            <w:pPr>
              <w:jc w:val="right"/>
              <w:ind w:right="49"/>
              <w:spacing w:after="0"/>
              <w:rPr>
                <w:sz w:val="20"/>
                <w:szCs w:val="20"/>
                <w:color w:val="auto"/>
              </w:rPr>
            </w:pPr>
            <w:r>
              <w:rPr>
                <w:rFonts w:ascii="Arial" w:cs="Arial" w:eastAsia="Arial" w:hAnsi="Arial"/>
                <w:sz w:val="10"/>
                <w:szCs w:val="10"/>
                <w:color w:val="auto"/>
              </w:rPr>
              <w:t>9,054</w:t>
            </w:r>
            <w:r>
              <w:rPr>
                <w:rFonts w:ascii="Arial" w:cs="Arial" w:eastAsia="Arial" w:hAnsi="Arial"/>
                <w:sz w:val="15"/>
                <w:szCs w:val="15"/>
                <w:color w:val="auto"/>
                <w:vertAlign w:val="superscript"/>
              </w:rPr>
              <w:t>(10)</w:t>
            </w:r>
          </w:p>
        </w:tc>
        <w:tc>
          <w:tcPr>
            <w:tcW w:w="560" w:type="dxa"/>
            <w:vAlign w:val="bottom"/>
            <w:shd w:val="clear" w:color="auto" w:fill="F2F7FE"/>
          </w:tcPr>
          <w:p>
            <w:pPr>
              <w:jc w:val="right"/>
              <w:spacing w:after="0"/>
              <w:rPr>
                <w:sz w:val="20"/>
                <w:szCs w:val="20"/>
                <w:color w:val="auto"/>
              </w:rPr>
            </w:pPr>
            <w:r>
              <w:rPr>
                <w:rFonts w:ascii="Arial" w:cs="Arial" w:eastAsia="Arial" w:hAnsi="Arial"/>
                <w:sz w:val="10"/>
                <w:szCs w:val="10"/>
                <w:color w:val="auto"/>
              </w:rPr>
              <w:t>1,845,875</w:t>
            </w:r>
          </w:p>
        </w:tc>
      </w:tr>
      <w:tr>
        <w:trPr>
          <w:trHeight w:val="117"/>
        </w:trPr>
        <w:tc>
          <w:tcPr>
            <w:tcW w:w="3760" w:type="dxa"/>
            <w:vAlign w:val="bottom"/>
            <w:shd w:val="clear" w:color="auto" w:fill="F2F7FE"/>
          </w:tcPr>
          <w:p>
            <w:pPr>
              <w:spacing w:after="0"/>
              <w:rPr>
                <w:sz w:val="20"/>
                <w:szCs w:val="20"/>
                <w:color w:val="auto"/>
              </w:rPr>
            </w:pPr>
            <w:r>
              <w:rPr>
                <w:rFonts w:ascii="Arial" w:cs="Arial" w:eastAsia="Arial" w:hAnsi="Arial"/>
                <w:sz w:val="10"/>
                <w:szCs w:val="10"/>
                <w:color w:val="auto"/>
              </w:rPr>
              <w:t>Executive Vice President and Chief Human</w:t>
            </w:r>
          </w:p>
        </w:tc>
        <w:tc>
          <w:tcPr>
            <w:tcW w:w="520" w:type="dxa"/>
            <w:vAlign w:val="bottom"/>
            <w:shd w:val="clear" w:color="auto" w:fill="F2F7FE"/>
          </w:tcPr>
          <w:p>
            <w:pPr>
              <w:ind w:left="180"/>
              <w:spacing w:after="0"/>
              <w:rPr>
                <w:sz w:val="20"/>
                <w:szCs w:val="20"/>
                <w:color w:val="auto"/>
              </w:rPr>
            </w:pPr>
            <w:r>
              <w:rPr>
                <w:rFonts w:ascii="Arial" w:cs="Arial" w:eastAsia="Arial" w:hAnsi="Arial"/>
                <w:sz w:val="10"/>
                <w:szCs w:val="10"/>
                <w:color w:val="auto"/>
              </w:rPr>
              <w:t>2019</w:t>
            </w:r>
          </w:p>
        </w:tc>
        <w:tc>
          <w:tcPr>
            <w:tcW w:w="600" w:type="dxa"/>
            <w:vAlign w:val="bottom"/>
            <w:shd w:val="clear" w:color="auto" w:fill="F2F7FE"/>
          </w:tcPr>
          <w:p>
            <w:pPr>
              <w:jc w:val="right"/>
              <w:ind w:right="88"/>
              <w:spacing w:after="0"/>
              <w:rPr>
                <w:sz w:val="20"/>
                <w:szCs w:val="20"/>
                <w:color w:val="auto"/>
              </w:rPr>
            </w:pPr>
            <w:r>
              <w:rPr>
                <w:rFonts w:ascii="Arial" w:cs="Arial" w:eastAsia="Arial" w:hAnsi="Arial"/>
                <w:sz w:val="10"/>
                <w:szCs w:val="10"/>
                <w:color w:val="auto"/>
              </w:rPr>
              <w:t>450,000</w:t>
            </w:r>
          </w:p>
        </w:tc>
        <w:tc>
          <w:tcPr>
            <w:tcW w:w="520" w:type="dxa"/>
            <w:vAlign w:val="bottom"/>
            <w:shd w:val="clear" w:color="auto" w:fill="F2F7FE"/>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880,294</w:t>
            </w:r>
          </w:p>
        </w:tc>
        <w:tc>
          <w:tcPr>
            <w:tcW w:w="146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411,735</w:t>
            </w:r>
          </w:p>
        </w:tc>
        <w:tc>
          <w:tcPr>
            <w:tcW w:w="148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shd w:val="clear" w:color="auto" w:fill="F2F7FE"/>
          </w:tcPr>
          <w:p>
            <w:pPr>
              <w:jc w:val="right"/>
              <w:ind w:right="189"/>
              <w:spacing w:after="0"/>
              <w:rPr>
                <w:sz w:val="20"/>
                <w:szCs w:val="20"/>
                <w:color w:val="auto"/>
              </w:rPr>
            </w:pPr>
            <w:r>
              <w:rPr>
                <w:rFonts w:ascii="Arial" w:cs="Arial" w:eastAsia="Arial" w:hAnsi="Arial"/>
                <w:sz w:val="10"/>
                <w:szCs w:val="10"/>
                <w:color w:val="auto"/>
              </w:rPr>
              <w:t>9,444</w:t>
            </w:r>
          </w:p>
        </w:tc>
        <w:tc>
          <w:tcPr>
            <w:tcW w:w="560" w:type="dxa"/>
            <w:vAlign w:val="bottom"/>
            <w:shd w:val="clear" w:color="auto" w:fill="F2F7FE"/>
          </w:tcPr>
          <w:p>
            <w:pPr>
              <w:jc w:val="right"/>
              <w:spacing w:after="0"/>
              <w:rPr>
                <w:sz w:val="20"/>
                <w:szCs w:val="20"/>
                <w:color w:val="auto"/>
              </w:rPr>
            </w:pPr>
            <w:r>
              <w:rPr>
                <w:rFonts w:ascii="Arial" w:cs="Arial" w:eastAsia="Arial" w:hAnsi="Arial"/>
                <w:sz w:val="10"/>
                <w:szCs w:val="10"/>
                <w:color w:val="auto"/>
              </w:rPr>
              <w:t>1,751,473</w:t>
            </w:r>
          </w:p>
        </w:tc>
      </w:tr>
      <w:tr>
        <w:trPr>
          <w:trHeight w:val="117"/>
        </w:trPr>
        <w:tc>
          <w:tcPr>
            <w:tcW w:w="3760" w:type="dxa"/>
            <w:vAlign w:val="bottom"/>
            <w:shd w:val="clear" w:color="auto" w:fill="F2F7FE"/>
          </w:tcPr>
          <w:p>
            <w:pPr>
              <w:spacing w:after="0"/>
              <w:rPr>
                <w:sz w:val="20"/>
                <w:szCs w:val="20"/>
                <w:color w:val="auto"/>
              </w:rPr>
            </w:pPr>
            <w:r>
              <w:rPr>
                <w:rFonts w:ascii="Arial" w:cs="Arial" w:eastAsia="Arial" w:hAnsi="Arial"/>
                <w:sz w:val="10"/>
                <w:szCs w:val="10"/>
                <w:color w:val="auto"/>
              </w:rPr>
              <w:t>Resources Officer</w:t>
            </w:r>
          </w:p>
        </w:tc>
        <w:tc>
          <w:tcPr>
            <w:tcW w:w="520" w:type="dxa"/>
            <w:vAlign w:val="bottom"/>
            <w:shd w:val="clear" w:color="auto" w:fill="F2F7FE"/>
          </w:tcPr>
          <w:p>
            <w:pPr>
              <w:ind w:left="180"/>
              <w:spacing w:after="0"/>
              <w:rPr>
                <w:sz w:val="20"/>
                <w:szCs w:val="20"/>
                <w:color w:val="auto"/>
              </w:rPr>
            </w:pPr>
            <w:r>
              <w:rPr>
                <w:rFonts w:ascii="Arial" w:cs="Arial" w:eastAsia="Arial" w:hAnsi="Arial"/>
                <w:sz w:val="10"/>
                <w:szCs w:val="10"/>
                <w:color w:val="auto"/>
              </w:rPr>
              <w:t>2018</w:t>
            </w:r>
          </w:p>
        </w:tc>
        <w:tc>
          <w:tcPr>
            <w:tcW w:w="600" w:type="dxa"/>
            <w:vAlign w:val="bottom"/>
            <w:shd w:val="clear" w:color="auto" w:fill="F2F7FE"/>
          </w:tcPr>
          <w:p>
            <w:pPr>
              <w:jc w:val="right"/>
              <w:ind w:right="88"/>
              <w:spacing w:after="0"/>
              <w:rPr>
                <w:sz w:val="20"/>
                <w:szCs w:val="20"/>
                <w:color w:val="auto"/>
              </w:rPr>
            </w:pPr>
            <w:r>
              <w:rPr>
                <w:rFonts w:ascii="Arial" w:cs="Arial" w:eastAsia="Arial" w:hAnsi="Arial"/>
                <w:sz w:val="10"/>
                <w:szCs w:val="10"/>
                <w:color w:val="auto"/>
              </w:rPr>
              <w:t>440,137</w:t>
            </w:r>
          </w:p>
        </w:tc>
        <w:tc>
          <w:tcPr>
            <w:tcW w:w="520" w:type="dxa"/>
            <w:vAlign w:val="bottom"/>
            <w:shd w:val="clear" w:color="auto" w:fill="F2F7FE"/>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809,936</w:t>
            </w:r>
          </w:p>
        </w:tc>
        <w:tc>
          <w:tcPr>
            <w:tcW w:w="146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164,579</w:t>
            </w:r>
          </w:p>
        </w:tc>
        <w:tc>
          <w:tcPr>
            <w:tcW w:w="148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shd w:val="clear" w:color="auto" w:fill="F2F7FE"/>
          </w:tcPr>
          <w:p>
            <w:pPr>
              <w:jc w:val="right"/>
              <w:ind w:right="189"/>
              <w:spacing w:after="0"/>
              <w:rPr>
                <w:sz w:val="20"/>
                <w:szCs w:val="20"/>
                <w:color w:val="auto"/>
              </w:rPr>
            </w:pPr>
            <w:r>
              <w:rPr>
                <w:rFonts w:ascii="Arial" w:cs="Arial" w:eastAsia="Arial" w:hAnsi="Arial"/>
                <w:sz w:val="10"/>
                <w:szCs w:val="10"/>
                <w:color w:val="auto"/>
              </w:rPr>
              <w:t>8,640</w:t>
            </w:r>
          </w:p>
        </w:tc>
        <w:tc>
          <w:tcPr>
            <w:tcW w:w="560" w:type="dxa"/>
            <w:vAlign w:val="bottom"/>
            <w:shd w:val="clear" w:color="auto" w:fill="F2F7FE"/>
          </w:tcPr>
          <w:p>
            <w:pPr>
              <w:jc w:val="right"/>
              <w:spacing w:after="0"/>
              <w:rPr>
                <w:sz w:val="20"/>
                <w:szCs w:val="20"/>
                <w:color w:val="auto"/>
              </w:rPr>
            </w:pPr>
            <w:r>
              <w:rPr>
                <w:rFonts w:ascii="Arial" w:cs="Arial" w:eastAsia="Arial" w:hAnsi="Arial"/>
                <w:sz w:val="10"/>
                <w:szCs w:val="10"/>
                <w:color w:val="auto"/>
              </w:rPr>
              <w:t>1,423,292</w:t>
            </w:r>
          </w:p>
        </w:tc>
      </w:tr>
      <w:tr>
        <w:trPr>
          <w:trHeight w:val="295"/>
        </w:trPr>
        <w:tc>
          <w:tcPr>
            <w:tcW w:w="3760" w:type="dxa"/>
            <w:vAlign w:val="bottom"/>
          </w:tcPr>
          <w:p>
            <w:pPr>
              <w:spacing w:after="0"/>
              <w:rPr>
                <w:sz w:val="20"/>
                <w:szCs w:val="20"/>
                <w:color w:val="auto"/>
              </w:rPr>
            </w:pPr>
            <w:r>
              <w:rPr>
                <w:rFonts w:ascii="Arial" w:cs="Arial" w:eastAsia="Arial" w:hAnsi="Arial"/>
                <w:sz w:val="10"/>
                <w:szCs w:val="10"/>
                <w:b w:val="1"/>
                <w:bCs w:val="1"/>
                <w:color w:val="auto"/>
              </w:rPr>
              <w:t>Vikas Bhalla</w:t>
            </w:r>
          </w:p>
        </w:tc>
        <w:tc>
          <w:tcPr>
            <w:tcW w:w="520" w:type="dxa"/>
            <w:vAlign w:val="bottom"/>
          </w:tcPr>
          <w:p>
            <w:pPr>
              <w:ind w:left="180"/>
              <w:spacing w:after="0"/>
              <w:rPr>
                <w:sz w:val="20"/>
                <w:szCs w:val="20"/>
                <w:color w:val="auto"/>
              </w:rPr>
            </w:pPr>
            <w:r>
              <w:rPr>
                <w:rFonts w:ascii="Arial" w:cs="Arial" w:eastAsia="Arial" w:hAnsi="Arial"/>
                <w:sz w:val="10"/>
                <w:szCs w:val="10"/>
                <w:color w:val="auto"/>
              </w:rPr>
              <w:t>2020</w:t>
            </w:r>
          </w:p>
        </w:tc>
        <w:tc>
          <w:tcPr>
            <w:tcW w:w="600" w:type="dxa"/>
            <w:vAlign w:val="bottom"/>
          </w:tcPr>
          <w:p>
            <w:pPr>
              <w:jc w:val="right"/>
              <w:spacing w:after="0"/>
              <w:rPr>
                <w:sz w:val="20"/>
                <w:szCs w:val="20"/>
                <w:color w:val="auto"/>
              </w:rPr>
            </w:pPr>
            <w:r>
              <w:rPr>
                <w:rFonts w:ascii="Arial" w:cs="Arial" w:eastAsia="Arial" w:hAnsi="Arial"/>
                <w:sz w:val="10"/>
                <w:szCs w:val="10"/>
                <w:color w:val="auto"/>
              </w:rPr>
              <w:t>229,016</w:t>
            </w:r>
            <w:r>
              <w:rPr>
                <w:rFonts w:ascii="Arial" w:cs="Arial" w:eastAsia="Arial" w:hAnsi="Arial"/>
                <w:sz w:val="15"/>
                <w:szCs w:val="15"/>
                <w:color w:val="auto"/>
                <w:vertAlign w:val="superscript"/>
              </w:rPr>
              <w:t>(3)</w:t>
            </w: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88"/>
              <w:spacing w:after="0"/>
              <w:rPr>
                <w:sz w:val="20"/>
                <w:szCs w:val="20"/>
                <w:color w:val="auto"/>
              </w:rPr>
            </w:pPr>
            <w:r>
              <w:rPr>
                <w:rFonts w:ascii="Arial" w:cs="Arial" w:eastAsia="Arial" w:hAnsi="Arial"/>
                <w:sz w:val="10"/>
                <w:szCs w:val="10"/>
                <w:color w:val="auto"/>
              </w:rPr>
              <w:t>1,399,048</w:t>
            </w:r>
          </w:p>
        </w:tc>
        <w:tc>
          <w:tcPr>
            <w:tcW w:w="1460" w:type="dxa"/>
            <w:vAlign w:val="bottom"/>
          </w:tcPr>
          <w:p>
            <w:pPr>
              <w:jc w:val="right"/>
              <w:ind w:right="188"/>
              <w:spacing w:after="0"/>
              <w:rPr>
                <w:sz w:val="20"/>
                <w:szCs w:val="20"/>
                <w:color w:val="auto"/>
              </w:rPr>
            </w:pPr>
            <w:r>
              <w:rPr>
                <w:rFonts w:ascii="Arial" w:cs="Arial" w:eastAsia="Arial" w:hAnsi="Arial"/>
                <w:sz w:val="10"/>
                <w:szCs w:val="10"/>
                <w:color w:val="auto"/>
              </w:rPr>
              <w:t>169,370</w:t>
            </w:r>
          </w:p>
        </w:tc>
        <w:tc>
          <w:tcPr>
            <w:tcW w:w="1480" w:type="dxa"/>
            <w:vAlign w:val="bottom"/>
          </w:tcPr>
          <w:p>
            <w:pPr>
              <w:jc w:val="right"/>
              <w:ind w:right="188"/>
              <w:spacing w:after="0"/>
              <w:rPr>
                <w:sz w:val="20"/>
                <w:szCs w:val="20"/>
                <w:color w:val="auto"/>
              </w:rPr>
            </w:pPr>
            <w:r>
              <w:rPr>
                <w:rFonts w:ascii="Arial" w:cs="Arial" w:eastAsia="Arial" w:hAnsi="Arial"/>
                <w:sz w:val="10"/>
                <w:szCs w:val="10"/>
                <w:color w:val="auto"/>
              </w:rPr>
              <w:t>5,067</w:t>
            </w:r>
          </w:p>
        </w:tc>
        <w:tc>
          <w:tcPr>
            <w:tcW w:w="1480" w:type="dxa"/>
            <w:vAlign w:val="bottom"/>
          </w:tcPr>
          <w:p>
            <w:pPr>
              <w:jc w:val="right"/>
              <w:ind w:right="49"/>
              <w:spacing w:after="0"/>
              <w:rPr>
                <w:sz w:val="20"/>
                <w:szCs w:val="20"/>
                <w:color w:val="auto"/>
              </w:rPr>
            </w:pPr>
            <w:r>
              <w:rPr>
                <w:rFonts w:ascii="Arial" w:cs="Arial" w:eastAsia="Arial" w:hAnsi="Arial"/>
                <w:sz w:val="10"/>
                <w:szCs w:val="10"/>
                <w:color w:val="auto"/>
              </w:rPr>
              <w:t>37,962</w:t>
            </w:r>
            <w:r>
              <w:rPr>
                <w:rFonts w:ascii="Arial" w:cs="Arial" w:eastAsia="Arial" w:hAnsi="Arial"/>
                <w:sz w:val="15"/>
                <w:szCs w:val="15"/>
                <w:color w:val="auto"/>
                <w:vertAlign w:val="superscript"/>
              </w:rPr>
              <w:t>(11)</w:t>
            </w:r>
          </w:p>
        </w:tc>
        <w:tc>
          <w:tcPr>
            <w:tcW w:w="560" w:type="dxa"/>
            <w:vAlign w:val="bottom"/>
          </w:tcPr>
          <w:p>
            <w:pPr>
              <w:jc w:val="right"/>
              <w:spacing w:after="0"/>
              <w:rPr>
                <w:sz w:val="20"/>
                <w:szCs w:val="20"/>
                <w:color w:val="auto"/>
              </w:rPr>
            </w:pPr>
            <w:r>
              <w:rPr>
                <w:rFonts w:ascii="Arial" w:cs="Arial" w:eastAsia="Arial" w:hAnsi="Arial"/>
                <w:sz w:val="10"/>
                <w:szCs w:val="10"/>
                <w:color w:val="auto"/>
              </w:rPr>
              <w:t>1,840,463</w:t>
            </w:r>
          </w:p>
        </w:tc>
      </w:tr>
      <w:tr>
        <w:trPr>
          <w:trHeight w:val="117"/>
        </w:trPr>
        <w:tc>
          <w:tcPr>
            <w:tcW w:w="3760" w:type="dxa"/>
            <w:vAlign w:val="bottom"/>
          </w:tcPr>
          <w:p>
            <w:pPr>
              <w:spacing w:after="0"/>
              <w:rPr>
                <w:sz w:val="20"/>
                <w:szCs w:val="20"/>
                <w:color w:val="auto"/>
              </w:rPr>
            </w:pPr>
            <w:r>
              <w:rPr>
                <w:rFonts w:ascii="Arial" w:cs="Arial" w:eastAsia="Arial" w:hAnsi="Arial"/>
                <w:sz w:val="10"/>
                <w:szCs w:val="10"/>
                <w:color w:val="auto"/>
              </w:rPr>
              <w:t>Executive Vice President and Business Head,</w:t>
            </w:r>
          </w:p>
        </w:tc>
        <w:tc>
          <w:tcPr>
            <w:tcW w:w="520" w:type="dxa"/>
            <w:vAlign w:val="bottom"/>
          </w:tcPr>
          <w:p>
            <w:pPr>
              <w:ind w:left="180"/>
              <w:spacing w:after="0"/>
              <w:rPr>
                <w:sz w:val="20"/>
                <w:szCs w:val="20"/>
                <w:color w:val="auto"/>
              </w:rPr>
            </w:pPr>
            <w:r>
              <w:rPr>
                <w:rFonts w:ascii="Arial" w:cs="Arial" w:eastAsia="Arial" w:hAnsi="Arial"/>
                <w:sz w:val="10"/>
                <w:szCs w:val="10"/>
                <w:color w:val="auto"/>
              </w:rPr>
              <w:t>2019</w:t>
            </w:r>
          </w:p>
        </w:tc>
        <w:tc>
          <w:tcPr>
            <w:tcW w:w="600" w:type="dxa"/>
            <w:vAlign w:val="bottom"/>
          </w:tcPr>
          <w:p>
            <w:pPr>
              <w:jc w:val="right"/>
              <w:ind w:right="88"/>
              <w:spacing w:after="0"/>
              <w:rPr>
                <w:sz w:val="20"/>
                <w:szCs w:val="20"/>
                <w:color w:val="auto"/>
              </w:rPr>
            </w:pPr>
            <w:r>
              <w:rPr>
                <w:rFonts w:ascii="Arial" w:cs="Arial" w:eastAsia="Arial" w:hAnsi="Arial"/>
                <w:sz w:val="10"/>
                <w:szCs w:val="10"/>
                <w:color w:val="auto"/>
              </w:rPr>
              <w:t>263,809</w:t>
            </w:r>
          </w:p>
        </w:tc>
        <w:tc>
          <w:tcPr>
            <w:tcW w:w="52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88"/>
              <w:spacing w:after="0"/>
              <w:rPr>
                <w:sz w:val="20"/>
                <w:szCs w:val="20"/>
                <w:color w:val="auto"/>
              </w:rPr>
            </w:pPr>
            <w:r>
              <w:rPr>
                <w:rFonts w:ascii="Arial" w:cs="Arial" w:eastAsia="Arial" w:hAnsi="Arial"/>
                <w:sz w:val="10"/>
                <w:szCs w:val="10"/>
                <w:color w:val="auto"/>
              </w:rPr>
              <w:t>973,685</w:t>
            </w:r>
          </w:p>
        </w:tc>
        <w:tc>
          <w:tcPr>
            <w:tcW w:w="1460" w:type="dxa"/>
            <w:vAlign w:val="bottom"/>
          </w:tcPr>
          <w:p>
            <w:pPr>
              <w:jc w:val="right"/>
              <w:ind w:right="188"/>
              <w:spacing w:after="0"/>
              <w:rPr>
                <w:sz w:val="20"/>
                <w:szCs w:val="20"/>
                <w:color w:val="auto"/>
              </w:rPr>
            </w:pPr>
            <w:r>
              <w:rPr>
                <w:rFonts w:ascii="Arial" w:cs="Arial" w:eastAsia="Arial" w:hAnsi="Arial"/>
                <w:sz w:val="10"/>
                <w:szCs w:val="10"/>
                <w:color w:val="auto"/>
              </w:rPr>
              <w:t>285,636</w:t>
            </w:r>
          </w:p>
        </w:tc>
        <w:tc>
          <w:tcPr>
            <w:tcW w:w="1480" w:type="dxa"/>
            <w:vAlign w:val="bottom"/>
          </w:tcPr>
          <w:p>
            <w:pPr>
              <w:jc w:val="right"/>
              <w:ind w:right="188"/>
              <w:spacing w:after="0"/>
              <w:rPr>
                <w:sz w:val="20"/>
                <w:szCs w:val="20"/>
                <w:color w:val="auto"/>
              </w:rPr>
            </w:pPr>
            <w:r>
              <w:rPr>
                <w:rFonts w:ascii="Arial" w:cs="Arial" w:eastAsia="Arial" w:hAnsi="Arial"/>
                <w:sz w:val="10"/>
                <w:szCs w:val="10"/>
                <w:color w:val="auto"/>
              </w:rPr>
              <w:t>5,186</w:t>
            </w:r>
          </w:p>
        </w:tc>
        <w:tc>
          <w:tcPr>
            <w:tcW w:w="1480" w:type="dxa"/>
            <w:vAlign w:val="bottom"/>
          </w:tcPr>
          <w:p>
            <w:pPr>
              <w:jc w:val="right"/>
              <w:ind w:right="189"/>
              <w:spacing w:after="0"/>
              <w:rPr>
                <w:sz w:val="20"/>
                <w:szCs w:val="20"/>
                <w:color w:val="auto"/>
              </w:rPr>
            </w:pPr>
            <w:r>
              <w:rPr>
                <w:rFonts w:ascii="Arial" w:cs="Arial" w:eastAsia="Arial" w:hAnsi="Arial"/>
                <w:sz w:val="10"/>
                <w:szCs w:val="10"/>
                <w:color w:val="auto"/>
              </w:rPr>
              <w:t>40,367</w:t>
            </w:r>
          </w:p>
        </w:tc>
        <w:tc>
          <w:tcPr>
            <w:tcW w:w="560" w:type="dxa"/>
            <w:vAlign w:val="bottom"/>
          </w:tcPr>
          <w:p>
            <w:pPr>
              <w:jc w:val="right"/>
              <w:spacing w:after="0"/>
              <w:rPr>
                <w:sz w:val="20"/>
                <w:szCs w:val="20"/>
                <w:color w:val="auto"/>
              </w:rPr>
            </w:pPr>
            <w:r>
              <w:rPr>
                <w:rFonts w:ascii="Arial" w:cs="Arial" w:eastAsia="Arial" w:hAnsi="Arial"/>
                <w:sz w:val="10"/>
                <w:szCs w:val="10"/>
                <w:color w:val="auto"/>
              </w:rPr>
              <w:t>1,568,683</w:t>
            </w:r>
          </w:p>
        </w:tc>
      </w:tr>
      <w:tr>
        <w:trPr>
          <w:trHeight w:val="113"/>
        </w:trPr>
        <w:tc>
          <w:tcPr>
            <w:tcW w:w="3760" w:type="dxa"/>
            <w:vAlign w:val="bottom"/>
          </w:tcPr>
          <w:p>
            <w:pPr>
              <w:spacing w:after="0" w:line="114" w:lineRule="exact"/>
              <w:rPr>
                <w:sz w:val="20"/>
                <w:szCs w:val="20"/>
                <w:color w:val="auto"/>
              </w:rPr>
            </w:pPr>
            <w:r>
              <w:rPr>
                <w:rFonts w:ascii="Arial" w:cs="Arial" w:eastAsia="Arial" w:hAnsi="Arial"/>
                <w:sz w:val="10"/>
                <w:szCs w:val="10"/>
                <w:color w:val="auto"/>
              </w:rPr>
              <w:t>Insurance</w:t>
            </w:r>
          </w:p>
        </w:tc>
        <w:tc>
          <w:tcPr>
            <w:tcW w:w="520" w:type="dxa"/>
            <w:vAlign w:val="bottom"/>
          </w:tcPr>
          <w:p>
            <w:pPr>
              <w:ind w:left="180"/>
              <w:spacing w:after="0" w:line="114" w:lineRule="exact"/>
              <w:rPr>
                <w:sz w:val="20"/>
                <w:szCs w:val="20"/>
                <w:color w:val="auto"/>
              </w:rPr>
            </w:pPr>
            <w:r>
              <w:rPr>
                <w:rFonts w:ascii="Arial" w:cs="Arial" w:eastAsia="Arial" w:hAnsi="Arial"/>
                <w:sz w:val="10"/>
                <w:szCs w:val="10"/>
                <w:color w:val="auto"/>
              </w:rPr>
              <w:t>2018</w:t>
            </w:r>
          </w:p>
        </w:tc>
        <w:tc>
          <w:tcPr>
            <w:tcW w:w="600" w:type="dxa"/>
            <w:vAlign w:val="bottom"/>
          </w:tcPr>
          <w:p>
            <w:pPr>
              <w:jc w:val="right"/>
              <w:ind w:right="88"/>
              <w:spacing w:after="0" w:line="114" w:lineRule="exact"/>
              <w:rPr>
                <w:sz w:val="20"/>
                <w:szCs w:val="20"/>
                <w:color w:val="auto"/>
              </w:rPr>
            </w:pPr>
            <w:r>
              <w:rPr>
                <w:rFonts w:ascii="Arial" w:cs="Arial" w:eastAsia="Arial" w:hAnsi="Arial"/>
                <w:sz w:val="10"/>
                <w:szCs w:val="10"/>
                <w:color w:val="auto"/>
              </w:rPr>
              <w:t>—</w:t>
            </w:r>
          </w:p>
        </w:tc>
        <w:tc>
          <w:tcPr>
            <w:tcW w:w="520" w:type="dxa"/>
            <w:vAlign w:val="bottom"/>
          </w:tcPr>
          <w:p>
            <w:pPr>
              <w:jc w:val="right"/>
              <w:ind w:right="49"/>
              <w:spacing w:after="0" w:line="114" w:lineRule="exact"/>
              <w:rPr>
                <w:sz w:val="20"/>
                <w:szCs w:val="20"/>
                <w:color w:val="auto"/>
              </w:rPr>
            </w:pPr>
            <w:r>
              <w:rPr>
                <w:rFonts w:ascii="Arial" w:cs="Arial" w:eastAsia="Arial" w:hAnsi="Arial"/>
                <w:sz w:val="10"/>
                <w:szCs w:val="10"/>
                <w:color w:val="auto"/>
              </w:rPr>
              <w:t>—</w:t>
            </w:r>
          </w:p>
        </w:tc>
        <w:tc>
          <w:tcPr>
            <w:tcW w:w="800" w:type="dxa"/>
            <w:vAlign w:val="bottom"/>
          </w:tcPr>
          <w:p>
            <w:pPr>
              <w:jc w:val="right"/>
              <w:ind w:right="188"/>
              <w:spacing w:after="0" w:line="114" w:lineRule="exact"/>
              <w:rPr>
                <w:sz w:val="20"/>
                <w:szCs w:val="20"/>
                <w:color w:val="auto"/>
              </w:rPr>
            </w:pPr>
            <w:r>
              <w:rPr>
                <w:rFonts w:ascii="Arial" w:cs="Arial" w:eastAsia="Arial" w:hAnsi="Arial"/>
                <w:sz w:val="10"/>
                <w:szCs w:val="10"/>
                <w:color w:val="auto"/>
              </w:rPr>
              <w:t>—</w:t>
            </w:r>
          </w:p>
        </w:tc>
        <w:tc>
          <w:tcPr>
            <w:tcW w:w="1460" w:type="dxa"/>
            <w:vAlign w:val="bottom"/>
          </w:tcPr>
          <w:p>
            <w:pPr>
              <w:jc w:val="right"/>
              <w:ind w:right="188"/>
              <w:spacing w:after="0" w:line="114" w:lineRule="exact"/>
              <w:rPr>
                <w:sz w:val="20"/>
                <w:szCs w:val="20"/>
                <w:color w:val="auto"/>
              </w:rPr>
            </w:pPr>
            <w:r>
              <w:rPr>
                <w:rFonts w:ascii="Arial" w:cs="Arial" w:eastAsia="Arial" w:hAnsi="Arial"/>
                <w:sz w:val="10"/>
                <w:szCs w:val="10"/>
                <w:color w:val="auto"/>
              </w:rPr>
              <w:t>—</w:t>
            </w:r>
          </w:p>
        </w:tc>
        <w:tc>
          <w:tcPr>
            <w:tcW w:w="1480" w:type="dxa"/>
            <w:vAlign w:val="bottom"/>
          </w:tcPr>
          <w:p>
            <w:pPr>
              <w:jc w:val="right"/>
              <w:ind w:right="188"/>
              <w:spacing w:after="0" w:line="114" w:lineRule="exact"/>
              <w:rPr>
                <w:sz w:val="20"/>
                <w:szCs w:val="20"/>
                <w:color w:val="auto"/>
              </w:rPr>
            </w:pPr>
            <w:r>
              <w:rPr>
                <w:rFonts w:ascii="Arial" w:cs="Arial" w:eastAsia="Arial" w:hAnsi="Arial"/>
                <w:sz w:val="10"/>
                <w:szCs w:val="10"/>
                <w:color w:val="auto"/>
              </w:rPr>
              <w:t>—</w:t>
            </w:r>
          </w:p>
        </w:tc>
        <w:tc>
          <w:tcPr>
            <w:tcW w:w="1480" w:type="dxa"/>
            <w:vAlign w:val="bottom"/>
          </w:tcPr>
          <w:p>
            <w:pPr>
              <w:jc w:val="right"/>
              <w:ind w:right="189"/>
              <w:spacing w:after="0" w:line="114"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r>
      <w:tr>
        <w:trPr>
          <w:trHeight w:val="292"/>
        </w:trPr>
        <w:tc>
          <w:tcPr>
            <w:tcW w:w="3760" w:type="dxa"/>
            <w:vAlign w:val="bottom"/>
            <w:shd w:val="clear" w:color="auto" w:fill="F2F7FE"/>
          </w:tcPr>
          <w:p>
            <w:pPr>
              <w:spacing w:after="0"/>
              <w:rPr>
                <w:sz w:val="20"/>
                <w:szCs w:val="20"/>
                <w:color w:val="auto"/>
              </w:rPr>
            </w:pPr>
            <w:r>
              <w:rPr>
                <w:rFonts w:ascii="Arial" w:cs="Arial" w:eastAsia="Arial" w:hAnsi="Arial"/>
                <w:sz w:val="10"/>
                <w:szCs w:val="10"/>
                <w:b w:val="1"/>
                <w:bCs w:val="1"/>
                <w:color w:val="auto"/>
              </w:rPr>
              <w:t>Samuel Meckey</w:t>
            </w:r>
          </w:p>
        </w:tc>
        <w:tc>
          <w:tcPr>
            <w:tcW w:w="520" w:type="dxa"/>
            <w:vAlign w:val="bottom"/>
            <w:shd w:val="clear" w:color="auto" w:fill="F2F7FE"/>
          </w:tcPr>
          <w:p>
            <w:pPr>
              <w:ind w:left="180"/>
              <w:spacing w:after="0"/>
              <w:rPr>
                <w:sz w:val="20"/>
                <w:szCs w:val="20"/>
                <w:color w:val="auto"/>
              </w:rPr>
            </w:pPr>
            <w:r>
              <w:rPr>
                <w:rFonts w:ascii="Arial" w:cs="Arial" w:eastAsia="Arial" w:hAnsi="Arial"/>
                <w:sz w:val="10"/>
                <w:szCs w:val="10"/>
                <w:color w:val="auto"/>
              </w:rPr>
              <w:t>2020</w:t>
            </w:r>
          </w:p>
        </w:tc>
        <w:tc>
          <w:tcPr>
            <w:tcW w:w="600" w:type="dxa"/>
            <w:vAlign w:val="bottom"/>
            <w:shd w:val="clear" w:color="auto" w:fill="F2F7FE"/>
          </w:tcPr>
          <w:p>
            <w:pPr>
              <w:jc w:val="right"/>
              <w:ind w:right="88"/>
              <w:spacing w:after="0"/>
              <w:rPr>
                <w:sz w:val="20"/>
                <w:szCs w:val="20"/>
                <w:color w:val="auto"/>
              </w:rPr>
            </w:pPr>
            <w:r>
              <w:rPr>
                <w:rFonts w:ascii="Arial" w:cs="Arial" w:eastAsia="Arial" w:hAnsi="Arial"/>
                <w:sz w:val="10"/>
                <w:szCs w:val="10"/>
                <w:color w:val="auto"/>
              </w:rPr>
              <w:t>382,152</w:t>
            </w:r>
          </w:p>
        </w:tc>
        <w:tc>
          <w:tcPr>
            <w:tcW w:w="520" w:type="dxa"/>
            <w:vAlign w:val="bottom"/>
            <w:shd w:val="clear" w:color="auto" w:fill="F2F7FE"/>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1,106,585</w:t>
            </w:r>
          </w:p>
        </w:tc>
        <w:tc>
          <w:tcPr>
            <w:tcW w:w="146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239,063</w:t>
            </w:r>
          </w:p>
        </w:tc>
        <w:tc>
          <w:tcPr>
            <w:tcW w:w="148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shd w:val="clear" w:color="auto" w:fill="F2F7FE"/>
          </w:tcPr>
          <w:p>
            <w:pPr>
              <w:jc w:val="right"/>
              <w:ind w:right="49"/>
              <w:spacing w:after="0"/>
              <w:rPr>
                <w:sz w:val="20"/>
                <w:szCs w:val="20"/>
                <w:color w:val="auto"/>
              </w:rPr>
            </w:pPr>
            <w:r>
              <w:rPr>
                <w:rFonts w:ascii="Arial" w:cs="Arial" w:eastAsia="Arial" w:hAnsi="Arial"/>
                <w:sz w:val="10"/>
                <w:szCs w:val="10"/>
                <w:color w:val="auto"/>
              </w:rPr>
              <w:t>9,054</w:t>
            </w:r>
            <w:r>
              <w:rPr>
                <w:rFonts w:ascii="Arial" w:cs="Arial" w:eastAsia="Arial" w:hAnsi="Arial"/>
                <w:sz w:val="15"/>
                <w:szCs w:val="15"/>
                <w:color w:val="auto"/>
                <w:vertAlign w:val="superscript"/>
              </w:rPr>
              <w:t>(12)</w:t>
            </w:r>
          </w:p>
        </w:tc>
        <w:tc>
          <w:tcPr>
            <w:tcW w:w="560" w:type="dxa"/>
            <w:vAlign w:val="bottom"/>
            <w:shd w:val="clear" w:color="auto" w:fill="F2F7FE"/>
          </w:tcPr>
          <w:p>
            <w:pPr>
              <w:jc w:val="right"/>
              <w:spacing w:after="0"/>
              <w:rPr>
                <w:sz w:val="20"/>
                <w:szCs w:val="20"/>
                <w:color w:val="auto"/>
              </w:rPr>
            </w:pPr>
            <w:r>
              <w:rPr>
                <w:rFonts w:ascii="Arial" w:cs="Arial" w:eastAsia="Arial" w:hAnsi="Arial"/>
                <w:sz w:val="10"/>
                <w:szCs w:val="10"/>
                <w:color w:val="auto"/>
              </w:rPr>
              <w:t>1,736,853</w:t>
            </w:r>
          </w:p>
        </w:tc>
      </w:tr>
      <w:tr>
        <w:trPr>
          <w:trHeight w:val="117"/>
        </w:trPr>
        <w:tc>
          <w:tcPr>
            <w:tcW w:w="3760" w:type="dxa"/>
            <w:vAlign w:val="bottom"/>
            <w:shd w:val="clear" w:color="auto" w:fill="F2F7FE"/>
          </w:tcPr>
          <w:p>
            <w:pPr>
              <w:spacing w:after="0"/>
              <w:rPr>
                <w:sz w:val="20"/>
                <w:szCs w:val="20"/>
                <w:color w:val="auto"/>
              </w:rPr>
            </w:pPr>
            <w:r>
              <w:rPr>
                <w:rFonts w:ascii="Arial" w:cs="Arial" w:eastAsia="Arial" w:hAnsi="Arial"/>
                <w:sz w:val="10"/>
                <w:szCs w:val="10"/>
                <w:color w:val="auto"/>
              </w:rPr>
              <w:t>Executive Vice President and Business Head,</w:t>
            </w:r>
          </w:p>
        </w:tc>
        <w:tc>
          <w:tcPr>
            <w:tcW w:w="520" w:type="dxa"/>
            <w:vAlign w:val="bottom"/>
            <w:shd w:val="clear" w:color="auto" w:fill="F2F7FE"/>
          </w:tcPr>
          <w:p>
            <w:pPr>
              <w:ind w:left="180"/>
              <w:spacing w:after="0"/>
              <w:rPr>
                <w:sz w:val="20"/>
                <w:szCs w:val="20"/>
                <w:color w:val="auto"/>
              </w:rPr>
            </w:pPr>
            <w:r>
              <w:rPr>
                <w:rFonts w:ascii="Arial" w:cs="Arial" w:eastAsia="Arial" w:hAnsi="Arial"/>
                <w:sz w:val="10"/>
                <w:szCs w:val="10"/>
                <w:color w:val="auto"/>
              </w:rPr>
              <w:t>2019</w:t>
            </w:r>
          </w:p>
        </w:tc>
        <w:tc>
          <w:tcPr>
            <w:tcW w:w="600" w:type="dxa"/>
            <w:vAlign w:val="bottom"/>
            <w:shd w:val="clear" w:color="auto" w:fill="F2F7FE"/>
          </w:tcPr>
          <w:p>
            <w:pPr>
              <w:jc w:val="right"/>
              <w:ind w:right="88"/>
              <w:spacing w:after="0"/>
              <w:rPr>
                <w:sz w:val="20"/>
                <w:szCs w:val="20"/>
                <w:color w:val="auto"/>
              </w:rPr>
            </w:pPr>
            <w:r>
              <w:rPr>
                <w:rFonts w:ascii="Arial" w:cs="Arial" w:eastAsia="Arial" w:hAnsi="Arial"/>
                <w:sz w:val="10"/>
                <w:szCs w:val="10"/>
                <w:color w:val="auto"/>
              </w:rPr>
              <w:t>425,000</w:t>
            </w:r>
          </w:p>
        </w:tc>
        <w:tc>
          <w:tcPr>
            <w:tcW w:w="520" w:type="dxa"/>
            <w:vAlign w:val="bottom"/>
            <w:shd w:val="clear" w:color="auto" w:fill="F2F7FE"/>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765,547</w:t>
            </w:r>
          </w:p>
        </w:tc>
        <w:tc>
          <w:tcPr>
            <w:tcW w:w="146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364,320</w:t>
            </w:r>
          </w:p>
        </w:tc>
        <w:tc>
          <w:tcPr>
            <w:tcW w:w="1480" w:type="dxa"/>
            <w:vAlign w:val="bottom"/>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shd w:val="clear" w:color="auto" w:fill="F2F7FE"/>
          </w:tcPr>
          <w:p>
            <w:pPr>
              <w:jc w:val="right"/>
              <w:ind w:right="189"/>
              <w:spacing w:after="0"/>
              <w:rPr>
                <w:sz w:val="20"/>
                <w:szCs w:val="20"/>
                <w:color w:val="auto"/>
              </w:rPr>
            </w:pPr>
            <w:r>
              <w:rPr>
                <w:rFonts w:ascii="Arial" w:cs="Arial" w:eastAsia="Arial" w:hAnsi="Arial"/>
                <w:sz w:val="10"/>
                <w:szCs w:val="10"/>
                <w:color w:val="auto"/>
              </w:rPr>
              <w:t>9,444</w:t>
            </w:r>
          </w:p>
        </w:tc>
        <w:tc>
          <w:tcPr>
            <w:tcW w:w="560" w:type="dxa"/>
            <w:vAlign w:val="bottom"/>
            <w:shd w:val="clear" w:color="auto" w:fill="F2F7FE"/>
          </w:tcPr>
          <w:p>
            <w:pPr>
              <w:jc w:val="right"/>
              <w:spacing w:after="0"/>
              <w:rPr>
                <w:sz w:val="20"/>
                <w:szCs w:val="20"/>
                <w:color w:val="auto"/>
              </w:rPr>
            </w:pPr>
            <w:r>
              <w:rPr>
                <w:rFonts w:ascii="Arial" w:cs="Arial" w:eastAsia="Arial" w:hAnsi="Arial"/>
                <w:sz w:val="10"/>
                <w:szCs w:val="10"/>
                <w:color w:val="auto"/>
              </w:rPr>
              <w:t>1,564,311</w:t>
            </w:r>
          </w:p>
        </w:tc>
      </w:tr>
      <w:tr>
        <w:trPr>
          <w:trHeight w:val="117"/>
        </w:trPr>
        <w:tc>
          <w:tcPr>
            <w:tcW w:w="3760" w:type="dxa"/>
            <w:vAlign w:val="bottom"/>
            <w:tcBorders>
              <w:bottom w:val="single" w:sz="8" w:color="auto"/>
            </w:tcBorders>
            <w:shd w:val="clear" w:color="auto" w:fill="F2F7FE"/>
          </w:tcPr>
          <w:p>
            <w:pPr>
              <w:spacing w:after="0"/>
              <w:rPr>
                <w:sz w:val="20"/>
                <w:szCs w:val="20"/>
                <w:color w:val="auto"/>
              </w:rPr>
            </w:pPr>
            <w:r>
              <w:rPr>
                <w:rFonts w:ascii="Arial" w:cs="Arial" w:eastAsia="Arial" w:hAnsi="Arial"/>
                <w:sz w:val="10"/>
                <w:szCs w:val="10"/>
                <w:color w:val="auto"/>
              </w:rPr>
              <w:t>Healthcare</w:t>
            </w:r>
          </w:p>
        </w:tc>
        <w:tc>
          <w:tcPr>
            <w:tcW w:w="520" w:type="dxa"/>
            <w:vAlign w:val="bottom"/>
            <w:tcBorders>
              <w:bottom w:val="single" w:sz="8" w:color="auto"/>
            </w:tcBorders>
            <w:shd w:val="clear" w:color="auto" w:fill="F2F7FE"/>
          </w:tcPr>
          <w:p>
            <w:pPr>
              <w:ind w:left="180"/>
              <w:spacing w:after="0"/>
              <w:rPr>
                <w:sz w:val="20"/>
                <w:szCs w:val="20"/>
                <w:color w:val="auto"/>
              </w:rPr>
            </w:pPr>
            <w:r>
              <w:rPr>
                <w:rFonts w:ascii="Arial" w:cs="Arial" w:eastAsia="Arial" w:hAnsi="Arial"/>
                <w:sz w:val="10"/>
                <w:szCs w:val="10"/>
                <w:color w:val="auto"/>
              </w:rPr>
              <w:t>2018</w:t>
            </w:r>
          </w:p>
        </w:tc>
        <w:tc>
          <w:tcPr>
            <w:tcW w:w="600" w:type="dxa"/>
            <w:vAlign w:val="bottom"/>
            <w:tcBorders>
              <w:bottom w:val="single" w:sz="8" w:color="auto"/>
            </w:tcBorders>
            <w:shd w:val="clear" w:color="auto" w:fill="F2F7FE"/>
          </w:tcPr>
          <w:p>
            <w:pPr>
              <w:jc w:val="right"/>
              <w:ind w:right="88"/>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shd w:val="clear" w:color="auto" w:fill="F2F7FE"/>
          </w:tcPr>
          <w:p>
            <w:pPr>
              <w:jc w:val="right"/>
              <w:ind w:right="49"/>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60" w:type="dxa"/>
            <w:vAlign w:val="bottom"/>
            <w:tcBorders>
              <w:bottom w:val="single" w:sz="8" w:color="auto"/>
            </w:tcBorders>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shd w:val="clear" w:color="auto" w:fill="F2F7FE"/>
          </w:tcPr>
          <w:p>
            <w:pPr>
              <w:jc w:val="right"/>
              <w:ind w:right="188"/>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shd w:val="clear" w:color="auto" w:fill="F2F7FE"/>
          </w:tcPr>
          <w:p>
            <w:pPr>
              <w:jc w:val="right"/>
              <w:ind w:right="189"/>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shd w:val="clear" w:color="auto" w:fill="F2F7FE"/>
          </w:tcPr>
          <w:p>
            <w:pPr>
              <w:jc w:val="right"/>
              <w:spacing w:after="0"/>
              <w:rPr>
                <w:sz w:val="20"/>
                <w:szCs w:val="20"/>
                <w:color w:val="auto"/>
              </w:rPr>
            </w:pPr>
            <w:r>
              <w:rPr>
                <w:rFonts w:ascii="Arial" w:cs="Arial" w:eastAsia="Arial" w:hAnsi="Arial"/>
                <w:sz w:val="10"/>
                <w:szCs w:val="10"/>
                <w:color w:val="auto"/>
              </w:rPr>
              <w:t>—</w:t>
            </w:r>
          </w:p>
        </w:tc>
      </w:tr>
    </w:tbl>
    <w:p>
      <w:pPr>
        <w:spacing w:after="0" w:line="159" w:lineRule="exact"/>
        <w:rPr>
          <w:sz w:val="20"/>
          <w:szCs w:val="20"/>
          <w:color w:val="auto"/>
        </w:rPr>
      </w:pPr>
    </w:p>
    <w:p>
      <w:pPr>
        <w:ind w:left="162" w:hanging="162"/>
        <w:spacing w:after="0"/>
        <w:tabs>
          <w:tab w:leader="none" w:pos="162" w:val="left"/>
        </w:tabs>
        <w:numPr>
          <w:ilvl w:val="0"/>
          <w:numId w:val="69"/>
        </w:numPr>
        <w:rPr>
          <w:rFonts w:ascii="Arial" w:cs="Arial" w:eastAsia="Arial" w:hAnsi="Arial"/>
          <w:sz w:val="10"/>
          <w:szCs w:val="10"/>
          <w:color w:val="auto"/>
        </w:rPr>
      </w:pPr>
      <w:r>
        <w:rPr>
          <w:rFonts w:ascii="Arial" w:cs="Arial" w:eastAsia="Arial" w:hAnsi="Arial"/>
          <w:sz w:val="10"/>
          <w:szCs w:val="10"/>
          <w:color w:val="auto"/>
        </w:rPr>
        <w:t>In addition to his other roles, Mr. Bagai served as our interim Chief Financial Officer in January 2020.</w:t>
      </w:r>
    </w:p>
    <w:p>
      <w:pPr>
        <w:spacing w:after="0" w:line="157" w:lineRule="exact"/>
        <w:rPr>
          <w:rFonts w:ascii="Arial" w:cs="Arial" w:eastAsia="Arial" w:hAnsi="Arial"/>
          <w:sz w:val="10"/>
          <w:szCs w:val="10"/>
          <w:color w:val="auto"/>
        </w:rPr>
      </w:pPr>
    </w:p>
    <w:p>
      <w:pPr>
        <w:ind w:left="2" w:right="220" w:hanging="2"/>
        <w:spacing w:after="0" w:line="262" w:lineRule="auto"/>
        <w:tabs>
          <w:tab w:leader="none" w:pos="158" w:val="left"/>
        </w:tabs>
        <w:numPr>
          <w:ilvl w:val="0"/>
          <w:numId w:val="69"/>
        </w:numPr>
        <w:rPr>
          <w:rFonts w:ascii="Arial" w:cs="Arial" w:eastAsia="Arial" w:hAnsi="Arial"/>
          <w:sz w:val="10"/>
          <w:szCs w:val="10"/>
          <w:color w:val="auto"/>
        </w:rPr>
      </w:pPr>
      <w:r>
        <w:rPr>
          <w:rFonts w:ascii="Arial" w:cs="Arial" w:eastAsia="Arial" w:hAnsi="Arial"/>
          <w:sz w:val="10"/>
          <w:szCs w:val="10"/>
          <w:color w:val="auto"/>
        </w:rPr>
        <w:t>The amount set forth in the "Salary" column for Mr. Bagai includes $112,092 of base salary, $113,237 of a cash supplementary allowance, $56,046 of housing allowance (which Mr. Bagai elected to receive instead in cash), $9,337 of travel allowance (which Mr. Bagai elected to receive instead in cash), and $10,265 of a special car allowance (which Mr. Bagai elected to receive instead in cash).</w:t>
      </w:r>
    </w:p>
    <w:p>
      <w:pPr>
        <w:spacing w:after="0" w:line="137" w:lineRule="exact"/>
        <w:rPr>
          <w:rFonts w:ascii="Arial" w:cs="Arial" w:eastAsia="Arial" w:hAnsi="Arial"/>
          <w:sz w:val="10"/>
          <w:szCs w:val="10"/>
          <w:color w:val="auto"/>
        </w:rPr>
      </w:pPr>
    </w:p>
    <w:p>
      <w:pPr>
        <w:ind w:left="2" w:right="300" w:hanging="2"/>
        <w:spacing w:after="0" w:line="262" w:lineRule="auto"/>
        <w:tabs>
          <w:tab w:leader="none" w:pos="158" w:val="left"/>
        </w:tabs>
        <w:numPr>
          <w:ilvl w:val="0"/>
          <w:numId w:val="69"/>
        </w:numPr>
        <w:rPr>
          <w:rFonts w:ascii="Arial" w:cs="Arial" w:eastAsia="Arial" w:hAnsi="Arial"/>
          <w:sz w:val="10"/>
          <w:szCs w:val="10"/>
          <w:color w:val="auto"/>
        </w:rPr>
      </w:pPr>
      <w:r>
        <w:rPr>
          <w:rFonts w:ascii="Arial" w:cs="Arial" w:eastAsia="Arial" w:hAnsi="Arial"/>
          <w:sz w:val="10"/>
          <w:szCs w:val="10"/>
          <w:color w:val="auto"/>
        </w:rPr>
        <w:t>The amount set forth in the "Salary" column for Mr. Bhalla includes $94,847 of base salary, $78,845 of a cash supplementary allowance, $47,423 of housing allowance (which Mr. Bhalla elected to receive instead in cash), $7,901 of travel allowance (which Mr. Bhalla elected to receive instead in cash).</w:t>
      </w:r>
    </w:p>
    <w:p>
      <w:pPr>
        <w:spacing w:after="0" w:line="137" w:lineRule="exact"/>
        <w:rPr>
          <w:rFonts w:ascii="Arial" w:cs="Arial" w:eastAsia="Arial" w:hAnsi="Arial"/>
          <w:sz w:val="10"/>
          <w:szCs w:val="10"/>
          <w:color w:val="auto"/>
        </w:rPr>
      </w:pPr>
    </w:p>
    <w:p>
      <w:pPr>
        <w:ind w:left="2" w:hanging="2"/>
        <w:spacing w:after="0" w:line="248" w:lineRule="auto"/>
        <w:tabs>
          <w:tab w:leader="none" w:pos="158" w:val="left"/>
        </w:tabs>
        <w:numPr>
          <w:ilvl w:val="0"/>
          <w:numId w:val="69"/>
        </w:numPr>
        <w:rPr>
          <w:rFonts w:ascii="Arial" w:cs="Arial" w:eastAsia="Arial" w:hAnsi="Arial"/>
          <w:sz w:val="10"/>
          <w:szCs w:val="10"/>
          <w:color w:val="auto"/>
        </w:rPr>
      </w:pPr>
      <w:r>
        <w:rPr>
          <w:rFonts w:ascii="Arial" w:cs="Arial" w:eastAsia="Arial" w:hAnsi="Arial"/>
          <w:sz w:val="10"/>
          <w:szCs w:val="10"/>
          <w:color w:val="auto"/>
        </w:rPr>
        <w:t>Amounts reflect the total grant date fair value of awards (RSUs and revenue based PRSUs) and Monte Carlo value of awards (TSR based PRSUs) (recognized for financial statement reporting purposes for the fiscal years ended December 31, 2018, 2019 and 2020, in accordance with FASB ASC Topic 718 (disregarding any forfeiture assumptions). Assumptions used in the calculation of these amounts are included (i) for 2020, in footnotes 2 and 23 to the audited financial statements for the fiscal year ended December 31, 2020, included in the 2020 Form 10-K; (ii) for 2019, in footnotes 2 and 23 to the audited financial statements for the fiscal year ended December 31, 2019, included in our Annual Report on Form 10-K filed with the Securities and Exchange Commission on February 27, 2020; and (iii) for 2018, in footnotes 2 and 24 to the audited financial statements for the fiscal year ended December 31, 2018, included in our Annual Report on Form 10-K filed with the Securities and Exchange Commission on February 28, 2019. With respect to stock awards granted in 2020, the table below sets forth the value attributable to performance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1408430" cy="3333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2"/>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241300</wp:posOffset>
            </wp:positionV>
            <wp:extent cx="7177405" cy="190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62"/>
          </w:cols>
          <w:pgMar w:left="298" w:top="142" w:right="339" w:bottom="1440" w:gutter="0" w:footer="0" w:header="0"/>
        </w:sectPr>
      </w:pPr>
    </w:p>
    <w:bookmarkStart w:id="87" w:name="page88"/>
    <w:bookmarkEnd w:id="87"/>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842"/>
        <w:spacing w:after="0"/>
        <w:rPr>
          <w:sz w:val="20"/>
          <w:szCs w:val="20"/>
          <w:color w:val="auto"/>
        </w:rPr>
      </w:pPr>
      <w:r>
        <w:rPr>
          <w:rFonts w:ascii="Arial" w:cs="Arial" w:eastAsia="Arial" w:hAnsi="Arial"/>
          <w:sz w:val="10"/>
          <w:szCs w:val="10"/>
          <w:b w:val="1"/>
          <w:bCs w:val="1"/>
          <w:color w:val="CCD9D9"/>
        </w:rPr>
        <w:t>EXECUTIVE COMPENSATION</w:t>
      </w:r>
    </w:p>
    <w:p>
      <w:pPr>
        <w:spacing w:after="0" w:line="169" w:lineRule="exact"/>
        <w:rPr>
          <w:sz w:val="20"/>
          <w:szCs w:val="20"/>
          <w:color w:val="auto"/>
        </w:rPr>
      </w:pPr>
    </w:p>
    <w:p>
      <w:pPr>
        <w:jc w:val="both"/>
        <w:ind w:left="2" w:right="20"/>
        <w:spacing w:after="0" w:line="262" w:lineRule="auto"/>
        <w:rPr>
          <w:sz w:val="20"/>
          <w:szCs w:val="20"/>
          <w:color w:val="auto"/>
        </w:rPr>
      </w:pPr>
      <w:r>
        <w:rPr>
          <w:rFonts w:ascii="Arial" w:cs="Arial" w:eastAsia="Arial" w:hAnsi="Arial"/>
          <w:sz w:val="10"/>
          <w:szCs w:val="10"/>
          <w:color w:val="auto"/>
        </w:rPr>
        <w:t>units valued at target achievement. Performance restricted stock units granted in 2020 may pay out up to 200% of the target award, which would have amounted to the grant date fair values listed as the maximum total grant date fair value for each named executive officer in the table below.</w:t>
      </w:r>
    </w:p>
    <w:p>
      <w:pPr>
        <w:spacing w:after="0" w:line="121" w:lineRule="exact"/>
        <w:rPr>
          <w:sz w:val="20"/>
          <w:szCs w:val="20"/>
          <w:color w:val="auto"/>
        </w:rPr>
      </w:pPr>
    </w:p>
    <w:tbl>
      <w:tblPr>
        <w:tblLayout w:type="fixed"/>
        <w:tblInd w:w="1122" w:type="dxa"/>
        <w:tblCellMar>
          <w:top w:w="0" w:type="dxa"/>
          <w:left w:w="0" w:type="dxa"/>
          <w:bottom w:w="0" w:type="dxa"/>
          <w:right w:w="0" w:type="dxa"/>
        </w:tblCellMar>
      </w:tblPr>
      <w:tr>
        <w:trPr>
          <w:trHeight w:val="169"/>
        </w:trPr>
        <w:tc>
          <w:tcPr>
            <w:tcW w:w="1780" w:type="dxa"/>
            <w:vAlign w:val="bottom"/>
            <w:tcBorders>
              <w:bottom w:val="single" w:sz="8" w:color="479EFF"/>
            </w:tcBorders>
          </w:tcPr>
          <w:p>
            <w:pPr>
              <w:ind w:left="20"/>
              <w:spacing w:after="0"/>
              <w:rPr>
                <w:sz w:val="20"/>
                <w:szCs w:val="20"/>
                <w:color w:val="auto"/>
              </w:rPr>
            </w:pPr>
            <w:r>
              <w:rPr>
                <w:rFonts w:ascii="Arial" w:cs="Arial" w:eastAsia="Arial" w:hAnsi="Arial"/>
                <w:sz w:val="13"/>
                <w:szCs w:val="13"/>
                <w:b w:val="1"/>
                <w:bCs w:val="1"/>
                <w:color w:val="479EFF"/>
              </w:rPr>
              <w:t>Name</w:t>
            </w:r>
          </w:p>
        </w:tc>
        <w:tc>
          <w:tcPr>
            <w:tcW w:w="3780" w:type="dxa"/>
            <w:vAlign w:val="bottom"/>
            <w:tcBorders>
              <w:bottom w:val="single" w:sz="8" w:color="479EFF"/>
            </w:tcBorders>
          </w:tcPr>
          <w:p>
            <w:pPr>
              <w:ind w:left="920"/>
              <w:spacing w:after="0"/>
              <w:rPr>
                <w:sz w:val="20"/>
                <w:szCs w:val="20"/>
                <w:color w:val="auto"/>
              </w:rPr>
            </w:pPr>
            <w:r>
              <w:rPr>
                <w:rFonts w:ascii="Arial" w:cs="Arial" w:eastAsia="Arial" w:hAnsi="Arial"/>
                <w:sz w:val="13"/>
                <w:szCs w:val="13"/>
                <w:b w:val="1"/>
                <w:bCs w:val="1"/>
                <w:color w:val="479EFF"/>
              </w:rPr>
              <w:t>Total Grant Date Fair Value ($)</w:t>
            </w:r>
          </w:p>
        </w:tc>
        <w:tc>
          <w:tcPr>
            <w:tcW w:w="3480" w:type="dxa"/>
            <w:vAlign w:val="bottom"/>
            <w:tcBorders>
              <w:bottom w:val="single" w:sz="8" w:color="479EFF"/>
            </w:tcBorders>
          </w:tcPr>
          <w:p>
            <w:pPr>
              <w:ind w:left="600"/>
              <w:spacing w:after="0"/>
              <w:rPr>
                <w:sz w:val="20"/>
                <w:szCs w:val="20"/>
                <w:color w:val="auto"/>
              </w:rPr>
            </w:pPr>
            <w:r>
              <w:rPr>
                <w:rFonts w:ascii="Arial" w:cs="Arial" w:eastAsia="Arial" w:hAnsi="Arial"/>
                <w:sz w:val="13"/>
                <w:szCs w:val="13"/>
                <w:b w:val="1"/>
                <w:bCs w:val="1"/>
                <w:color w:val="479EFF"/>
              </w:rPr>
              <w:t>Maximum Total Grant Date Fair Value ($)</w:t>
            </w:r>
          </w:p>
        </w:tc>
      </w:tr>
      <w:tr>
        <w:trPr>
          <w:trHeight w:val="146"/>
        </w:trPr>
        <w:tc>
          <w:tcPr>
            <w:tcW w:w="1780" w:type="dxa"/>
            <w:vAlign w:val="bottom"/>
            <w:tcBorders>
              <w:bottom w:val="single" w:sz="8" w:color="auto"/>
              <w:right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Rohit Kapoor</w:t>
            </w:r>
          </w:p>
        </w:tc>
        <w:tc>
          <w:tcPr>
            <w:tcW w:w="3780" w:type="dxa"/>
            <w:vAlign w:val="bottom"/>
            <w:tcBorders>
              <w:bottom w:val="single" w:sz="8" w:color="auto"/>
              <w:right w:val="single" w:sz="8" w:color="auto"/>
            </w:tcBorders>
          </w:tcPr>
          <w:p>
            <w:pPr>
              <w:jc w:val="center"/>
              <w:ind w:right="77"/>
              <w:spacing w:after="0" w:line="146" w:lineRule="exact"/>
              <w:rPr>
                <w:sz w:val="20"/>
                <w:szCs w:val="20"/>
                <w:color w:val="auto"/>
              </w:rPr>
            </w:pPr>
            <w:r>
              <w:rPr>
                <w:rFonts w:ascii="Arial" w:cs="Arial" w:eastAsia="Arial" w:hAnsi="Arial"/>
                <w:sz w:val="13"/>
                <w:szCs w:val="13"/>
                <w:color w:val="auto"/>
                <w:w w:val="96"/>
              </w:rPr>
              <w:t>3,853,478</w:t>
            </w:r>
          </w:p>
        </w:tc>
        <w:tc>
          <w:tcPr>
            <w:tcW w:w="3480" w:type="dxa"/>
            <w:vAlign w:val="bottom"/>
            <w:tcBorders>
              <w:bottom w:val="single" w:sz="8" w:color="auto"/>
            </w:tcBorders>
          </w:tcPr>
          <w:p>
            <w:pPr>
              <w:jc w:val="center"/>
              <w:ind w:left="77"/>
              <w:spacing w:after="0" w:line="146" w:lineRule="exact"/>
              <w:rPr>
                <w:sz w:val="20"/>
                <w:szCs w:val="20"/>
                <w:color w:val="auto"/>
              </w:rPr>
            </w:pPr>
            <w:r>
              <w:rPr>
                <w:rFonts w:ascii="Arial" w:cs="Arial" w:eastAsia="Arial" w:hAnsi="Arial"/>
                <w:sz w:val="13"/>
                <w:szCs w:val="13"/>
                <w:color w:val="auto"/>
              </w:rPr>
              <w:t>7,706,956</w:t>
            </w:r>
          </w:p>
        </w:tc>
      </w:tr>
      <w:tr>
        <w:trPr>
          <w:trHeight w:val="136"/>
        </w:trPr>
        <w:tc>
          <w:tcPr>
            <w:tcW w:w="1780" w:type="dxa"/>
            <w:vAlign w:val="bottom"/>
            <w:tcBorders>
              <w:bottom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Maurizio Nicolelli</w:t>
            </w:r>
          </w:p>
        </w:tc>
        <w:tc>
          <w:tcPr>
            <w:tcW w:w="3780" w:type="dxa"/>
            <w:vAlign w:val="bottom"/>
            <w:tcBorders>
              <w:bottom w:val="single" w:sz="8" w:color="auto"/>
              <w:right w:val="single" w:sz="8" w:color="auto"/>
            </w:tcBorders>
          </w:tcPr>
          <w:p>
            <w:pPr>
              <w:jc w:val="center"/>
              <w:ind w:right="97"/>
              <w:spacing w:after="0" w:line="136" w:lineRule="exact"/>
              <w:rPr>
                <w:sz w:val="20"/>
                <w:szCs w:val="20"/>
                <w:color w:val="auto"/>
              </w:rPr>
            </w:pPr>
            <w:r>
              <w:rPr>
                <w:rFonts w:ascii="Arial" w:cs="Arial" w:eastAsia="Arial" w:hAnsi="Arial"/>
                <w:sz w:val="13"/>
                <w:szCs w:val="13"/>
                <w:color w:val="auto"/>
                <w:w w:val="97"/>
              </w:rPr>
              <w:t>393,798</w:t>
            </w:r>
          </w:p>
        </w:tc>
        <w:tc>
          <w:tcPr>
            <w:tcW w:w="3480" w:type="dxa"/>
            <w:vAlign w:val="bottom"/>
            <w:tcBorders>
              <w:bottom w:val="single" w:sz="8" w:color="auto"/>
            </w:tcBorders>
          </w:tcPr>
          <w:p>
            <w:pPr>
              <w:jc w:val="center"/>
              <w:ind w:left="77"/>
              <w:spacing w:after="0" w:line="136" w:lineRule="exact"/>
              <w:rPr>
                <w:sz w:val="20"/>
                <w:szCs w:val="20"/>
                <w:color w:val="auto"/>
              </w:rPr>
            </w:pPr>
            <w:r>
              <w:rPr>
                <w:rFonts w:ascii="Arial" w:cs="Arial" w:eastAsia="Arial" w:hAnsi="Arial"/>
                <w:sz w:val="13"/>
                <w:szCs w:val="13"/>
                <w:color w:val="auto"/>
                <w:w w:val="97"/>
              </w:rPr>
              <w:t>787,596</w:t>
            </w:r>
          </w:p>
        </w:tc>
      </w:tr>
      <w:tr>
        <w:trPr>
          <w:trHeight w:val="136"/>
        </w:trPr>
        <w:tc>
          <w:tcPr>
            <w:tcW w:w="1780" w:type="dxa"/>
            <w:vAlign w:val="bottom"/>
            <w:tcBorders>
              <w:bottom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Pavan Bagai</w:t>
            </w:r>
          </w:p>
        </w:tc>
        <w:tc>
          <w:tcPr>
            <w:tcW w:w="3780" w:type="dxa"/>
            <w:vAlign w:val="bottom"/>
            <w:tcBorders>
              <w:bottom w:val="single" w:sz="8" w:color="auto"/>
              <w:right w:val="single" w:sz="8" w:color="auto"/>
            </w:tcBorders>
          </w:tcPr>
          <w:p>
            <w:pPr>
              <w:jc w:val="center"/>
              <w:ind w:right="97"/>
              <w:spacing w:after="0" w:line="136" w:lineRule="exact"/>
              <w:rPr>
                <w:sz w:val="20"/>
                <w:szCs w:val="20"/>
                <w:color w:val="auto"/>
              </w:rPr>
            </w:pPr>
            <w:r>
              <w:rPr>
                <w:rFonts w:ascii="Arial" w:cs="Arial" w:eastAsia="Arial" w:hAnsi="Arial"/>
                <w:sz w:val="13"/>
                <w:szCs w:val="13"/>
                <w:color w:val="auto"/>
                <w:w w:val="97"/>
              </w:rPr>
              <w:t>906,248</w:t>
            </w:r>
          </w:p>
        </w:tc>
        <w:tc>
          <w:tcPr>
            <w:tcW w:w="3480" w:type="dxa"/>
            <w:vAlign w:val="bottom"/>
            <w:tcBorders>
              <w:bottom w:val="single" w:sz="8" w:color="auto"/>
            </w:tcBorders>
          </w:tcPr>
          <w:p>
            <w:pPr>
              <w:jc w:val="center"/>
              <w:ind w:left="77"/>
              <w:spacing w:after="0" w:line="136" w:lineRule="exact"/>
              <w:rPr>
                <w:sz w:val="20"/>
                <w:szCs w:val="20"/>
                <w:color w:val="auto"/>
              </w:rPr>
            </w:pPr>
            <w:r>
              <w:rPr>
                <w:rFonts w:ascii="Arial" w:cs="Arial" w:eastAsia="Arial" w:hAnsi="Arial"/>
                <w:sz w:val="13"/>
                <w:szCs w:val="13"/>
                <w:color w:val="auto"/>
              </w:rPr>
              <w:t>1,812,496</w:t>
            </w:r>
          </w:p>
        </w:tc>
      </w:tr>
      <w:tr>
        <w:trPr>
          <w:trHeight w:val="136"/>
        </w:trPr>
        <w:tc>
          <w:tcPr>
            <w:tcW w:w="1780" w:type="dxa"/>
            <w:vAlign w:val="bottom"/>
            <w:tcBorders>
              <w:bottom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Nalin Miglani</w:t>
            </w:r>
          </w:p>
        </w:tc>
        <w:tc>
          <w:tcPr>
            <w:tcW w:w="3780" w:type="dxa"/>
            <w:vAlign w:val="bottom"/>
            <w:tcBorders>
              <w:bottom w:val="single" w:sz="8" w:color="auto"/>
              <w:right w:val="single" w:sz="8" w:color="auto"/>
            </w:tcBorders>
          </w:tcPr>
          <w:p>
            <w:pPr>
              <w:jc w:val="center"/>
              <w:ind w:right="97"/>
              <w:spacing w:after="0" w:line="136" w:lineRule="exact"/>
              <w:rPr>
                <w:sz w:val="20"/>
                <w:szCs w:val="20"/>
                <w:color w:val="auto"/>
              </w:rPr>
            </w:pPr>
            <w:r>
              <w:rPr>
                <w:rFonts w:ascii="Arial" w:cs="Arial" w:eastAsia="Arial" w:hAnsi="Arial"/>
                <w:sz w:val="13"/>
                <w:szCs w:val="13"/>
                <w:color w:val="auto"/>
                <w:w w:val="97"/>
              </w:rPr>
              <w:t>631,077</w:t>
            </w:r>
          </w:p>
        </w:tc>
        <w:tc>
          <w:tcPr>
            <w:tcW w:w="3480" w:type="dxa"/>
            <w:vAlign w:val="bottom"/>
            <w:tcBorders>
              <w:bottom w:val="single" w:sz="8" w:color="auto"/>
            </w:tcBorders>
          </w:tcPr>
          <w:p>
            <w:pPr>
              <w:jc w:val="center"/>
              <w:ind w:left="77"/>
              <w:spacing w:after="0" w:line="136" w:lineRule="exact"/>
              <w:rPr>
                <w:sz w:val="20"/>
                <w:szCs w:val="20"/>
                <w:color w:val="auto"/>
              </w:rPr>
            </w:pPr>
            <w:r>
              <w:rPr>
                <w:rFonts w:ascii="Arial" w:cs="Arial" w:eastAsia="Arial" w:hAnsi="Arial"/>
                <w:sz w:val="13"/>
                <w:szCs w:val="13"/>
                <w:color w:val="auto"/>
              </w:rPr>
              <w:t>1,262,154</w:t>
            </w:r>
          </w:p>
        </w:tc>
      </w:tr>
      <w:tr>
        <w:trPr>
          <w:trHeight w:val="136"/>
        </w:trPr>
        <w:tc>
          <w:tcPr>
            <w:tcW w:w="1780" w:type="dxa"/>
            <w:vAlign w:val="bottom"/>
            <w:tcBorders>
              <w:bottom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Vikas Bhalla</w:t>
            </w:r>
          </w:p>
        </w:tc>
        <w:tc>
          <w:tcPr>
            <w:tcW w:w="3780" w:type="dxa"/>
            <w:vAlign w:val="bottom"/>
            <w:tcBorders>
              <w:bottom w:val="single" w:sz="8" w:color="auto"/>
              <w:right w:val="single" w:sz="8" w:color="auto"/>
            </w:tcBorders>
          </w:tcPr>
          <w:p>
            <w:pPr>
              <w:jc w:val="center"/>
              <w:ind w:right="97"/>
              <w:spacing w:after="0" w:line="136" w:lineRule="exact"/>
              <w:rPr>
                <w:sz w:val="20"/>
                <w:szCs w:val="20"/>
                <w:color w:val="auto"/>
              </w:rPr>
            </w:pPr>
            <w:r>
              <w:rPr>
                <w:rFonts w:ascii="Arial" w:cs="Arial" w:eastAsia="Arial" w:hAnsi="Arial"/>
                <w:sz w:val="13"/>
                <w:szCs w:val="13"/>
                <w:color w:val="auto"/>
                <w:w w:val="97"/>
              </w:rPr>
              <w:t>748,826</w:t>
            </w:r>
          </w:p>
        </w:tc>
        <w:tc>
          <w:tcPr>
            <w:tcW w:w="3480" w:type="dxa"/>
            <w:vAlign w:val="bottom"/>
            <w:tcBorders>
              <w:bottom w:val="single" w:sz="8" w:color="auto"/>
            </w:tcBorders>
          </w:tcPr>
          <w:p>
            <w:pPr>
              <w:jc w:val="center"/>
              <w:ind w:left="77"/>
              <w:spacing w:after="0" w:line="136" w:lineRule="exact"/>
              <w:rPr>
                <w:sz w:val="20"/>
                <w:szCs w:val="20"/>
                <w:color w:val="auto"/>
              </w:rPr>
            </w:pPr>
            <w:r>
              <w:rPr>
                <w:rFonts w:ascii="Arial" w:cs="Arial" w:eastAsia="Arial" w:hAnsi="Arial"/>
                <w:sz w:val="13"/>
                <w:szCs w:val="13"/>
                <w:color w:val="auto"/>
              </w:rPr>
              <w:t>1,497,652</w:t>
            </w:r>
          </w:p>
        </w:tc>
      </w:tr>
      <w:tr>
        <w:trPr>
          <w:trHeight w:val="145"/>
        </w:trPr>
        <w:tc>
          <w:tcPr>
            <w:tcW w:w="1780" w:type="dxa"/>
            <w:vAlign w:val="bottom"/>
            <w:tcBorders>
              <w:bottom w:val="single" w:sz="8" w:color="479EFF"/>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Samuel Meckey</w:t>
            </w:r>
          </w:p>
        </w:tc>
        <w:tc>
          <w:tcPr>
            <w:tcW w:w="3780" w:type="dxa"/>
            <w:vAlign w:val="bottom"/>
            <w:tcBorders>
              <w:bottom w:val="single" w:sz="8" w:color="479EFF"/>
              <w:right w:val="single" w:sz="8" w:color="auto"/>
            </w:tcBorders>
          </w:tcPr>
          <w:p>
            <w:pPr>
              <w:jc w:val="center"/>
              <w:ind w:right="97"/>
              <w:spacing w:after="0" w:line="136" w:lineRule="exact"/>
              <w:rPr>
                <w:sz w:val="20"/>
                <w:szCs w:val="20"/>
                <w:color w:val="auto"/>
              </w:rPr>
            </w:pPr>
            <w:r>
              <w:rPr>
                <w:rFonts w:ascii="Arial" w:cs="Arial" w:eastAsia="Arial" w:hAnsi="Arial"/>
                <w:sz w:val="13"/>
                <w:szCs w:val="13"/>
                <w:color w:val="auto"/>
                <w:w w:val="97"/>
              </w:rPr>
              <w:t>592,282</w:t>
            </w:r>
          </w:p>
        </w:tc>
        <w:tc>
          <w:tcPr>
            <w:tcW w:w="3480" w:type="dxa"/>
            <w:vAlign w:val="bottom"/>
            <w:tcBorders>
              <w:bottom w:val="single" w:sz="8" w:color="479EFF"/>
            </w:tcBorders>
          </w:tcPr>
          <w:p>
            <w:pPr>
              <w:jc w:val="center"/>
              <w:ind w:left="77"/>
              <w:spacing w:after="0" w:line="136" w:lineRule="exact"/>
              <w:rPr>
                <w:sz w:val="20"/>
                <w:szCs w:val="20"/>
                <w:color w:val="auto"/>
              </w:rPr>
            </w:pPr>
            <w:r>
              <w:rPr>
                <w:rFonts w:ascii="Arial" w:cs="Arial" w:eastAsia="Arial" w:hAnsi="Arial"/>
                <w:sz w:val="13"/>
                <w:szCs w:val="13"/>
                <w:color w:val="auto"/>
              </w:rPr>
              <w:t>1,184,564</w:t>
            </w:r>
          </w:p>
        </w:tc>
      </w:tr>
    </w:tbl>
    <w:p>
      <w:pPr>
        <w:spacing w:after="0" w:line="159" w:lineRule="exact"/>
        <w:rPr>
          <w:sz w:val="20"/>
          <w:szCs w:val="20"/>
          <w:color w:val="auto"/>
        </w:rPr>
      </w:pPr>
    </w:p>
    <w:p>
      <w:pPr>
        <w:ind w:left="162" w:hanging="162"/>
        <w:spacing w:after="0"/>
        <w:tabs>
          <w:tab w:leader="none" w:pos="162" w:val="left"/>
        </w:tabs>
        <w:numPr>
          <w:ilvl w:val="0"/>
          <w:numId w:val="70"/>
        </w:numPr>
        <w:rPr>
          <w:rFonts w:ascii="Arial" w:cs="Arial" w:eastAsia="Arial" w:hAnsi="Arial"/>
          <w:sz w:val="10"/>
          <w:szCs w:val="10"/>
          <w:color w:val="auto"/>
        </w:rPr>
      </w:pPr>
      <w:r>
        <w:rPr>
          <w:rFonts w:ascii="Arial" w:cs="Arial" w:eastAsia="Arial" w:hAnsi="Arial"/>
          <w:sz w:val="10"/>
          <w:szCs w:val="10"/>
          <w:color w:val="auto"/>
        </w:rPr>
        <w:t>Reflects the cash incentive bonuses earned in respect of 2020 and paid in 2021. For details on our annual incentive bonus program, see "Compensation Discussion and Analysis — Incentive Bonus" beginning on page 75.</w:t>
      </w:r>
    </w:p>
    <w:p>
      <w:pPr>
        <w:spacing w:after="0" w:line="157" w:lineRule="exact"/>
        <w:rPr>
          <w:rFonts w:ascii="Arial" w:cs="Arial" w:eastAsia="Arial" w:hAnsi="Arial"/>
          <w:sz w:val="10"/>
          <w:szCs w:val="10"/>
          <w:color w:val="auto"/>
        </w:rPr>
      </w:pPr>
    </w:p>
    <w:p>
      <w:pPr>
        <w:ind w:left="2" w:right="200" w:hanging="2"/>
        <w:spacing w:after="0" w:line="262" w:lineRule="auto"/>
        <w:tabs>
          <w:tab w:leader="none" w:pos="158" w:val="left"/>
        </w:tabs>
        <w:numPr>
          <w:ilvl w:val="0"/>
          <w:numId w:val="70"/>
        </w:numPr>
        <w:rPr>
          <w:rFonts w:ascii="Arial" w:cs="Arial" w:eastAsia="Arial" w:hAnsi="Arial"/>
          <w:sz w:val="10"/>
          <w:szCs w:val="10"/>
          <w:color w:val="auto"/>
        </w:rPr>
      </w:pPr>
      <w:r>
        <w:rPr>
          <w:rFonts w:ascii="Arial" w:cs="Arial" w:eastAsia="Arial" w:hAnsi="Arial"/>
          <w:sz w:val="10"/>
          <w:szCs w:val="10"/>
          <w:color w:val="auto"/>
        </w:rPr>
        <w:t>Reflects the present value of accruals under the Gratuity Plan for Indian employees. Information regarding our Gratuity Plan (including the assumptions used to calculate these amounts) may be found under "Pension Benefits for Fiscal Year 2020" beginning on page 93.</w:t>
      </w:r>
    </w:p>
    <w:p>
      <w:pPr>
        <w:spacing w:after="0" w:line="137" w:lineRule="exact"/>
        <w:rPr>
          <w:rFonts w:ascii="Arial" w:cs="Arial" w:eastAsia="Arial" w:hAnsi="Arial"/>
          <w:sz w:val="10"/>
          <w:szCs w:val="10"/>
          <w:color w:val="auto"/>
        </w:rPr>
      </w:pPr>
    </w:p>
    <w:p>
      <w:pPr>
        <w:ind w:left="2" w:right="140" w:hanging="2"/>
        <w:spacing w:after="0" w:line="262" w:lineRule="auto"/>
        <w:tabs>
          <w:tab w:leader="none" w:pos="158" w:val="left"/>
        </w:tabs>
        <w:numPr>
          <w:ilvl w:val="0"/>
          <w:numId w:val="70"/>
        </w:numPr>
        <w:rPr>
          <w:rFonts w:ascii="Arial" w:cs="Arial" w:eastAsia="Arial" w:hAnsi="Arial"/>
          <w:sz w:val="10"/>
          <w:szCs w:val="10"/>
          <w:color w:val="auto"/>
        </w:rPr>
      </w:pPr>
      <w:r>
        <w:rPr>
          <w:rFonts w:ascii="Arial" w:cs="Arial" w:eastAsia="Arial" w:hAnsi="Arial"/>
          <w:sz w:val="10"/>
          <w:szCs w:val="10"/>
          <w:color w:val="auto"/>
        </w:rPr>
        <w:t>Amount for Mr. Kapoor includes the travel allowance ($13,927) provided for under his employment agreement, to be used for once-a-year business class airfare for himself and his family between the United States and India, costs associated with use of an automobile and driver ($2,688), car lease rental ($5,372), contribution to our 401(k) plan ($8,550), and Company-paid Life Insurance ($504).</w:t>
      </w:r>
    </w:p>
    <w:p>
      <w:pPr>
        <w:spacing w:after="0" w:line="137" w:lineRule="exact"/>
        <w:rPr>
          <w:rFonts w:ascii="Arial" w:cs="Arial" w:eastAsia="Arial" w:hAnsi="Arial"/>
          <w:sz w:val="10"/>
          <w:szCs w:val="10"/>
          <w:color w:val="auto"/>
        </w:rPr>
      </w:pPr>
    </w:p>
    <w:p>
      <w:pPr>
        <w:ind w:left="162" w:hanging="162"/>
        <w:spacing w:after="0"/>
        <w:tabs>
          <w:tab w:leader="none" w:pos="162" w:val="left"/>
        </w:tabs>
        <w:numPr>
          <w:ilvl w:val="0"/>
          <w:numId w:val="70"/>
        </w:numPr>
        <w:rPr>
          <w:rFonts w:ascii="Arial" w:cs="Arial" w:eastAsia="Arial" w:hAnsi="Arial"/>
          <w:sz w:val="10"/>
          <w:szCs w:val="10"/>
          <w:color w:val="auto"/>
        </w:rPr>
      </w:pPr>
      <w:r>
        <w:rPr>
          <w:rFonts w:ascii="Arial" w:cs="Arial" w:eastAsia="Arial" w:hAnsi="Arial"/>
          <w:sz w:val="10"/>
          <w:szCs w:val="10"/>
          <w:color w:val="auto"/>
        </w:rPr>
        <w:t>Amount for Mr. Nicolelli includes contribution to our 401(k) plan ($8,550), Company-paid Life Insurance ($420).</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70"/>
        </w:numPr>
        <w:rPr>
          <w:rFonts w:ascii="Arial" w:cs="Arial" w:eastAsia="Arial" w:hAnsi="Arial"/>
          <w:sz w:val="10"/>
          <w:szCs w:val="10"/>
          <w:color w:val="auto"/>
        </w:rPr>
      </w:pPr>
      <w:r>
        <w:rPr>
          <w:rFonts w:ascii="Arial" w:cs="Arial" w:eastAsia="Arial" w:hAnsi="Arial"/>
          <w:sz w:val="10"/>
          <w:szCs w:val="10"/>
          <w:color w:val="auto"/>
        </w:rPr>
        <w:t>Amount for Mr. Bagai includes contributions to the Employees' Provident Fund Scheme (a statutorily required defined contribution program for Indian employees) ($13,451), costs associated with use of an automobile and driver in India</w:t>
      </w:r>
    </w:p>
    <w:p>
      <w:pPr>
        <w:spacing w:after="0" w:line="2" w:lineRule="exact"/>
        <w:rPr>
          <w:sz w:val="20"/>
          <w:szCs w:val="20"/>
          <w:color w:val="auto"/>
        </w:rPr>
      </w:pPr>
    </w:p>
    <w:p>
      <w:pPr>
        <w:ind w:left="2"/>
        <w:spacing w:after="0"/>
        <w:rPr>
          <w:sz w:val="20"/>
          <w:szCs w:val="20"/>
          <w:color w:val="auto"/>
        </w:rPr>
      </w:pPr>
      <w:r>
        <w:rPr>
          <w:rFonts w:ascii="Arial" w:cs="Arial" w:eastAsia="Arial" w:hAnsi="Arial"/>
          <w:sz w:val="10"/>
          <w:szCs w:val="10"/>
          <w:color w:val="auto"/>
        </w:rPr>
        <w:t>($443.40), home internet and telephone charges ($250.20).</w:t>
      </w:r>
    </w:p>
    <w:p>
      <w:pPr>
        <w:spacing w:after="0" w:line="157" w:lineRule="exact"/>
        <w:rPr>
          <w:sz w:val="20"/>
          <w:szCs w:val="20"/>
          <w:color w:val="auto"/>
        </w:rPr>
      </w:pPr>
    </w:p>
    <w:p>
      <w:pPr>
        <w:ind w:left="222" w:hanging="222"/>
        <w:spacing w:after="0"/>
        <w:tabs>
          <w:tab w:leader="none" w:pos="222" w:val="left"/>
        </w:tabs>
        <w:numPr>
          <w:ilvl w:val="0"/>
          <w:numId w:val="71"/>
        </w:numPr>
        <w:rPr>
          <w:rFonts w:ascii="Arial" w:cs="Arial" w:eastAsia="Arial" w:hAnsi="Arial"/>
          <w:sz w:val="10"/>
          <w:szCs w:val="10"/>
          <w:color w:val="auto"/>
        </w:rPr>
      </w:pPr>
      <w:r>
        <w:rPr>
          <w:rFonts w:ascii="Arial" w:cs="Arial" w:eastAsia="Arial" w:hAnsi="Arial"/>
          <w:sz w:val="10"/>
          <w:szCs w:val="10"/>
          <w:color w:val="auto"/>
        </w:rPr>
        <w:t>Amount for Mr. Miglani includes contributions to 401(k) plan ($8,550) and Company paid Life Insurance premiums ($504).</w:t>
      </w:r>
    </w:p>
    <w:p>
      <w:pPr>
        <w:spacing w:after="0" w:line="157" w:lineRule="exact"/>
        <w:rPr>
          <w:rFonts w:ascii="Arial" w:cs="Arial" w:eastAsia="Arial" w:hAnsi="Arial"/>
          <w:sz w:val="10"/>
          <w:szCs w:val="10"/>
          <w:color w:val="auto"/>
        </w:rPr>
      </w:pPr>
    </w:p>
    <w:p>
      <w:pPr>
        <w:ind w:left="2" w:right="40" w:hanging="2"/>
        <w:spacing w:after="0" w:line="262" w:lineRule="auto"/>
        <w:tabs>
          <w:tab w:leader="none" w:pos="215" w:val="left"/>
        </w:tabs>
        <w:numPr>
          <w:ilvl w:val="0"/>
          <w:numId w:val="71"/>
        </w:numPr>
        <w:rPr>
          <w:rFonts w:ascii="Arial" w:cs="Arial" w:eastAsia="Arial" w:hAnsi="Arial"/>
          <w:sz w:val="10"/>
          <w:szCs w:val="10"/>
          <w:color w:val="auto"/>
        </w:rPr>
      </w:pPr>
      <w:r>
        <w:rPr>
          <w:rFonts w:ascii="Arial" w:cs="Arial" w:eastAsia="Arial" w:hAnsi="Arial"/>
          <w:sz w:val="10"/>
          <w:szCs w:val="10"/>
          <w:color w:val="auto"/>
        </w:rPr>
        <w:t>Amount for Mr. Bhalla includes car allowance ($20,530), contributions to the Employees' Provident Fund Scheme (a statutorily required defined contribution program for Indian employees) ($11,381), costs associated with use of an automobile and driver in India ($5,502), home internet and telephone charges ($549).</w:t>
      </w:r>
    </w:p>
    <w:p>
      <w:pPr>
        <w:spacing w:after="0" w:line="137" w:lineRule="exact"/>
        <w:rPr>
          <w:rFonts w:ascii="Arial" w:cs="Arial" w:eastAsia="Arial" w:hAnsi="Arial"/>
          <w:sz w:val="10"/>
          <w:szCs w:val="10"/>
          <w:color w:val="auto"/>
        </w:rPr>
      </w:pPr>
    </w:p>
    <w:p>
      <w:pPr>
        <w:ind w:left="222" w:hanging="222"/>
        <w:spacing w:after="0"/>
        <w:tabs>
          <w:tab w:leader="none" w:pos="222" w:val="left"/>
        </w:tabs>
        <w:numPr>
          <w:ilvl w:val="0"/>
          <w:numId w:val="71"/>
        </w:numPr>
        <w:rPr>
          <w:rFonts w:ascii="Arial" w:cs="Arial" w:eastAsia="Arial" w:hAnsi="Arial"/>
          <w:sz w:val="10"/>
          <w:szCs w:val="10"/>
          <w:color w:val="auto"/>
        </w:rPr>
      </w:pPr>
      <w:r>
        <w:rPr>
          <w:rFonts w:ascii="Arial" w:cs="Arial" w:eastAsia="Arial" w:hAnsi="Arial"/>
          <w:sz w:val="10"/>
          <w:szCs w:val="10"/>
          <w:color w:val="auto"/>
        </w:rPr>
        <w:t>Amount for Mr. Samuel Meckey includes contributions to 401(k) plan ($8,550) and Company paid Life Insurance premiums ($504).</w:t>
      </w:r>
    </w:p>
    <w:p>
      <w:pPr>
        <w:spacing w:after="0" w:line="157" w:lineRule="exact"/>
        <w:rPr>
          <w:rFonts w:ascii="Arial" w:cs="Arial" w:eastAsia="Arial" w:hAnsi="Arial"/>
          <w:sz w:val="10"/>
          <w:szCs w:val="10"/>
          <w:color w:val="auto"/>
        </w:rPr>
      </w:pPr>
    </w:p>
    <w:p>
      <w:pPr>
        <w:ind w:left="222" w:hanging="222"/>
        <w:spacing w:after="0"/>
        <w:tabs>
          <w:tab w:leader="none" w:pos="222" w:val="left"/>
        </w:tabs>
        <w:numPr>
          <w:ilvl w:val="0"/>
          <w:numId w:val="71"/>
        </w:numPr>
        <w:rPr>
          <w:rFonts w:ascii="Arial" w:cs="Arial" w:eastAsia="Arial" w:hAnsi="Arial"/>
          <w:sz w:val="10"/>
          <w:szCs w:val="10"/>
          <w:color w:val="auto"/>
        </w:rPr>
      </w:pPr>
      <w:r>
        <w:rPr>
          <w:rFonts w:ascii="Arial" w:cs="Arial" w:eastAsia="Arial" w:hAnsi="Arial"/>
          <w:sz w:val="10"/>
          <w:szCs w:val="10"/>
          <w:color w:val="auto"/>
        </w:rPr>
        <w:t>Mr. Nicolelli received $125,000 as his joining bonus.</w:t>
      </w:r>
    </w:p>
    <w:p>
      <w:pPr>
        <w:spacing w:after="0" w:line="156" w:lineRule="exact"/>
        <w:rPr>
          <w:sz w:val="20"/>
          <w:szCs w:val="20"/>
          <w:color w:val="auto"/>
        </w:rPr>
      </w:pPr>
    </w:p>
    <w:p>
      <w:pPr>
        <w:ind w:left="2" w:right="40"/>
        <w:spacing w:after="0" w:line="278" w:lineRule="auto"/>
        <w:rPr>
          <w:sz w:val="20"/>
          <w:szCs w:val="20"/>
          <w:color w:val="auto"/>
        </w:rPr>
      </w:pPr>
      <w:r>
        <w:rPr>
          <w:rFonts w:ascii="Arial" w:cs="Arial" w:eastAsia="Arial" w:hAnsi="Arial"/>
          <w:sz w:val="12"/>
          <w:szCs w:val="12"/>
          <w:color w:val="auto"/>
        </w:rPr>
        <w:t>Unless otherwise specified, U.S. dollar figures in this proxy statement have been converted from Indian rupees at a rate of 73.065 Indian rupees to $1.00, the Indian rupee to U.S. dollar exchange rate in effect as of December 31, 2020. Some of the information in the Summary Compensation Tables for fiscal years 2019 and 2018 was converted using the exchange rates in effect as set forth below:</w:t>
      </w:r>
    </w:p>
    <w:p>
      <w:pPr>
        <w:spacing w:after="0" w:line="112" w:lineRule="exact"/>
        <w:rPr>
          <w:sz w:val="20"/>
          <w:szCs w:val="20"/>
          <w:color w:val="auto"/>
        </w:rPr>
      </w:pPr>
    </w:p>
    <w:tbl>
      <w:tblPr>
        <w:tblLayout w:type="fixed"/>
        <w:tblInd w:w="1122" w:type="dxa"/>
        <w:tblCellMar>
          <w:top w:w="0" w:type="dxa"/>
          <w:left w:w="0" w:type="dxa"/>
          <w:bottom w:w="0" w:type="dxa"/>
          <w:right w:w="0" w:type="dxa"/>
        </w:tblCellMar>
      </w:tblPr>
      <w:tr>
        <w:trPr>
          <w:trHeight w:val="169"/>
        </w:trPr>
        <w:tc>
          <w:tcPr>
            <w:tcW w:w="2160" w:type="dxa"/>
            <w:vAlign w:val="bottom"/>
            <w:tcBorders>
              <w:bottom w:val="single" w:sz="8" w:color="479EFF"/>
            </w:tcBorders>
          </w:tcPr>
          <w:p>
            <w:pPr>
              <w:jc w:val="center"/>
              <w:ind w:right="217"/>
              <w:spacing w:after="0"/>
              <w:rPr>
                <w:sz w:val="20"/>
                <w:szCs w:val="20"/>
                <w:color w:val="auto"/>
              </w:rPr>
            </w:pPr>
            <w:r>
              <w:rPr>
                <w:rFonts w:ascii="Arial" w:cs="Arial" w:eastAsia="Arial" w:hAnsi="Arial"/>
                <w:sz w:val="13"/>
                <w:szCs w:val="13"/>
                <w:b w:val="1"/>
                <w:bCs w:val="1"/>
                <w:color w:val="479EFF"/>
                <w:w w:val="98"/>
              </w:rPr>
              <w:t>Fiscal Year</w:t>
            </w:r>
          </w:p>
        </w:tc>
        <w:tc>
          <w:tcPr>
            <w:tcW w:w="3580" w:type="dxa"/>
            <w:vAlign w:val="bottom"/>
            <w:tcBorders>
              <w:bottom w:val="single" w:sz="8" w:color="479EFF"/>
            </w:tcBorders>
          </w:tcPr>
          <w:p>
            <w:pPr>
              <w:jc w:val="center"/>
              <w:ind w:right="97"/>
              <w:spacing w:after="0"/>
              <w:rPr>
                <w:sz w:val="20"/>
                <w:szCs w:val="20"/>
                <w:color w:val="auto"/>
              </w:rPr>
            </w:pPr>
            <w:r>
              <w:rPr>
                <w:rFonts w:ascii="Arial" w:cs="Arial" w:eastAsia="Arial" w:hAnsi="Arial"/>
                <w:sz w:val="13"/>
                <w:szCs w:val="13"/>
                <w:b w:val="1"/>
                <w:bCs w:val="1"/>
                <w:color w:val="479EFF"/>
                <w:w w:val="92"/>
              </w:rPr>
              <w:t>Rate</w:t>
            </w:r>
          </w:p>
        </w:tc>
        <w:tc>
          <w:tcPr>
            <w:tcW w:w="3300" w:type="dxa"/>
            <w:vAlign w:val="bottom"/>
            <w:tcBorders>
              <w:bottom w:val="single" w:sz="8" w:color="479EFF"/>
            </w:tcBorders>
          </w:tcPr>
          <w:p>
            <w:pPr>
              <w:jc w:val="center"/>
              <w:ind w:left="77"/>
              <w:spacing w:after="0"/>
              <w:rPr>
                <w:sz w:val="20"/>
                <w:szCs w:val="20"/>
                <w:color w:val="auto"/>
              </w:rPr>
            </w:pPr>
            <w:r>
              <w:rPr>
                <w:rFonts w:ascii="Arial" w:cs="Arial" w:eastAsia="Arial" w:hAnsi="Arial"/>
                <w:sz w:val="13"/>
                <w:szCs w:val="13"/>
                <w:b w:val="1"/>
                <w:bCs w:val="1"/>
                <w:color w:val="479EFF"/>
                <w:w w:val="96"/>
              </w:rPr>
              <w:t>Exchange Rate of INR per US$1</w:t>
            </w:r>
          </w:p>
        </w:tc>
      </w:tr>
      <w:tr>
        <w:trPr>
          <w:trHeight w:val="146"/>
        </w:trPr>
        <w:tc>
          <w:tcPr>
            <w:tcW w:w="2160" w:type="dxa"/>
            <w:vAlign w:val="bottom"/>
            <w:tcBorders>
              <w:bottom w:val="single" w:sz="8" w:color="auto"/>
              <w:right w:val="single" w:sz="8" w:color="auto"/>
            </w:tcBorders>
          </w:tcPr>
          <w:p>
            <w:pPr>
              <w:jc w:val="center"/>
              <w:ind w:right="217"/>
              <w:spacing w:after="0" w:line="146" w:lineRule="exact"/>
              <w:rPr>
                <w:sz w:val="20"/>
                <w:szCs w:val="20"/>
                <w:color w:val="auto"/>
              </w:rPr>
            </w:pPr>
            <w:r>
              <w:rPr>
                <w:rFonts w:ascii="Arial" w:cs="Arial" w:eastAsia="Arial" w:hAnsi="Arial"/>
                <w:sz w:val="13"/>
                <w:szCs w:val="13"/>
                <w:color w:val="auto"/>
                <w:w w:val="96"/>
              </w:rPr>
              <w:t>2019</w:t>
            </w:r>
          </w:p>
        </w:tc>
        <w:tc>
          <w:tcPr>
            <w:tcW w:w="3580" w:type="dxa"/>
            <w:vAlign w:val="bottom"/>
            <w:tcBorders>
              <w:bottom w:val="single" w:sz="8" w:color="auto"/>
              <w:right w:val="single" w:sz="8" w:color="auto"/>
            </w:tcBorders>
          </w:tcPr>
          <w:p>
            <w:pPr>
              <w:jc w:val="center"/>
              <w:ind w:right="97"/>
              <w:spacing w:after="0" w:line="146" w:lineRule="exact"/>
              <w:rPr>
                <w:sz w:val="20"/>
                <w:szCs w:val="20"/>
                <w:color w:val="auto"/>
              </w:rPr>
            </w:pPr>
            <w:r>
              <w:rPr>
                <w:rFonts w:ascii="Arial" w:cs="Arial" w:eastAsia="Arial" w:hAnsi="Arial"/>
                <w:sz w:val="13"/>
                <w:szCs w:val="13"/>
                <w:color w:val="auto"/>
                <w:w w:val="96"/>
              </w:rPr>
              <w:t>December 31, 2019</w:t>
            </w:r>
          </w:p>
        </w:tc>
        <w:tc>
          <w:tcPr>
            <w:tcW w:w="3300" w:type="dxa"/>
            <w:vAlign w:val="bottom"/>
            <w:tcBorders>
              <w:bottom w:val="single" w:sz="8" w:color="auto"/>
            </w:tcBorders>
          </w:tcPr>
          <w:p>
            <w:pPr>
              <w:jc w:val="center"/>
              <w:ind w:left="77"/>
              <w:spacing w:after="0" w:line="146" w:lineRule="exact"/>
              <w:rPr>
                <w:sz w:val="20"/>
                <w:szCs w:val="20"/>
                <w:color w:val="auto"/>
              </w:rPr>
            </w:pPr>
            <w:r>
              <w:rPr>
                <w:rFonts w:ascii="Arial" w:cs="Arial" w:eastAsia="Arial" w:hAnsi="Arial"/>
                <w:sz w:val="13"/>
                <w:szCs w:val="13"/>
                <w:color w:val="auto"/>
                <w:w w:val="98"/>
              </w:rPr>
              <w:t>71.38</w:t>
            </w:r>
          </w:p>
        </w:tc>
      </w:tr>
      <w:tr>
        <w:trPr>
          <w:trHeight w:val="145"/>
        </w:trPr>
        <w:tc>
          <w:tcPr>
            <w:tcW w:w="2160" w:type="dxa"/>
            <w:vAlign w:val="bottom"/>
            <w:tcBorders>
              <w:bottom w:val="single" w:sz="8" w:color="479EFF"/>
              <w:right w:val="single" w:sz="8" w:color="auto"/>
            </w:tcBorders>
          </w:tcPr>
          <w:p>
            <w:pPr>
              <w:jc w:val="center"/>
              <w:ind w:right="217"/>
              <w:spacing w:after="0" w:line="136" w:lineRule="exact"/>
              <w:rPr>
                <w:sz w:val="20"/>
                <w:szCs w:val="20"/>
                <w:color w:val="auto"/>
              </w:rPr>
            </w:pPr>
            <w:r>
              <w:rPr>
                <w:rFonts w:ascii="Arial" w:cs="Arial" w:eastAsia="Arial" w:hAnsi="Arial"/>
                <w:sz w:val="13"/>
                <w:szCs w:val="13"/>
                <w:color w:val="auto"/>
                <w:w w:val="96"/>
              </w:rPr>
              <w:t>2018</w:t>
            </w:r>
          </w:p>
        </w:tc>
        <w:tc>
          <w:tcPr>
            <w:tcW w:w="3580" w:type="dxa"/>
            <w:vAlign w:val="bottom"/>
            <w:tcBorders>
              <w:bottom w:val="single" w:sz="8" w:color="479EFF"/>
              <w:right w:val="single" w:sz="8" w:color="auto"/>
            </w:tcBorders>
          </w:tcPr>
          <w:p>
            <w:pPr>
              <w:jc w:val="center"/>
              <w:ind w:right="97"/>
              <w:spacing w:after="0" w:line="136" w:lineRule="exact"/>
              <w:rPr>
                <w:sz w:val="20"/>
                <w:szCs w:val="20"/>
                <w:color w:val="auto"/>
              </w:rPr>
            </w:pPr>
            <w:r>
              <w:rPr>
                <w:rFonts w:ascii="Arial" w:cs="Arial" w:eastAsia="Arial" w:hAnsi="Arial"/>
                <w:sz w:val="13"/>
                <w:szCs w:val="13"/>
                <w:color w:val="auto"/>
                <w:w w:val="96"/>
              </w:rPr>
              <w:t>December 31, 2018</w:t>
            </w:r>
          </w:p>
        </w:tc>
        <w:tc>
          <w:tcPr>
            <w:tcW w:w="3300" w:type="dxa"/>
            <w:vAlign w:val="bottom"/>
            <w:tcBorders>
              <w:bottom w:val="single" w:sz="8" w:color="479EFF"/>
            </w:tcBorders>
          </w:tcPr>
          <w:p>
            <w:pPr>
              <w:jc w:val="center"/>
              <w:ind w:left="77"/>
              <w:spacing w:after="0" w:line="136" w:lineRule="exact"/>
              <w:rPr>
                <w:sz w:val="20"/>
                <w:szCs w:val="20"/>
                <w:color w:val="auto"/>
              </w:rPr>
            </w:pPr>
            <w:r>
              <w:rPr>
                <w:rFonts w:ascii="Arial" w:cs="Arial" w:eastAsia="Arial" w:hAnsi="Arial"/>
                <w:sz w:val="13"/>
                <w:szCs w:val="13"/>
                <w:color w:val="auto"/>
                <w:w w:val="98"/>
              </w:rPr>
              <w:t>69.77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5762625</wp:posOffset>
            </wp:positionH>
            <wp:positionV relativeFrom="paragraph">
              <wp:posOffset>197485</wp:posOffset>
            </wp:positionV>
            <wp:extent cx="1408430" cy="3333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0862"/>
        <w:spacing w:after="0"/>
        <w:rPr>
          <w:sz w:val="20"/>
          <w:szCs w:val="20"/>
          <w:color w:val="auto"/>
        </w:rPr>
      </w:pPr>
      <w:r>
        <w:rPr>
          <w:rFonts w:ascii="Arial" w:cs="Arial" w:eastAsia="Arial" w:hAnsi="Arial"/>
          <w:sz w:val="13"/>
          <w:szCs w:val="13"/>
          <w:color w:val="FFFFFE"/>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177405" cy="190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2"/>
          </w:cols>
          <w:pgMar w:left="298" w:top="142" w:right="299" w:bottom="1440" w:gutter="0" w:footer="0" w:header="0"/>
        </w:sectPr>
      </w:pPr>
    </w:p>
    <w:bookmarkStart w:id="88" w:name="page89"/>
    <w:bookmarkEnd w:id="88"/>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479EFF"/>
        </w:rPr>
        <w:t>Grants of Plan-Based Awards Table for Fiscal Year 2020</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table sets forth information concerning grants of stock and option awards and non-equity incentive plan awards granted to our named executive officers during fiscal year 2020:</w:t>
      </w:r>
    </w:p>
    <w:p>
      <w:pPr>
        <w:spacing w:after="0" w:line="130" w:lineRule="exact"/>
        <w:rPr>
          <w:sz w:val="20"/>
          <w:szCs w:val="20"/>
          <w:color w:val="auto"/>
        </w:rPr>
      </w:pPr>
    </w:p>
    <w:tbl>
      <w:tblPr>
        <w:tblLayout w:type="fixed"/>
        <w:tblInd w:w="2" w:type="dxa"/>
        <w:tblCellMar>
          <w:top w:w="0" w:type="dxa"/>
          <w:left w:w="0" w:type="dxa"/>
          <w:bottom w:w="0" w:type="dxa"/>
          <w:right w:w="0" w:type="dxa"/>
        </w:tblCellMar>
      </w:tblPr>
      <w:tr>
        <w:trPr>
          <w:trHeight w:val="126"/>
        </w:trPr>
        <w:tc>
          <w:tcPr>
            <w:tcW w:w="49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20" w:type="dxa"/>
            <w:vAlign w:val="bottom"/>
            <w:tcBorders>
              <w:top w:val="single" w:sz="8" w:color="auto"/>
            </w:tcBorders>
            <w:gridSpan w:val="4"/>
            <w:vMerge w:val="restart"/>
          </w:tcPr>
          <w:p>
            <w:pPr>
              <w:jc w:val="center"/>
              <w:ind w:right="100"/>
              <w:spacing w:after="0"/>
              <w:rPr>
                <w:sz w:val="20"/>
                <w:szCs w:val="20"/>
                <w:color w:val="auto"/>
              </w:rPr>
            </w:pPr>
            <w:r>
              <w:rPr>
                <w:rFonts w:ascii="Arial" w:cs="Arial" w:eastAsia="Arial" w:hAnsi="Arial"/>
                <w:sz w:val="10"/>
                <w:szCs w:val="10"/>
                <w:b w:val="1"/>
                <w:bCs w:val="1"/>
                <w:color w:val="auto"/>
              </w:rPr>
              <w:t>Estimated Future Payouts</w:t>
            </w:r>
          </w:p>
        </w:tc>
        <w:tc>
          <w:tcPr>
            <w:tcW w:w="1820" w:type="dxa"/>
            <w:vAlign w:val="bottom"/>
            <w:tcBorders>
              <w:top w:val="single" w:sz="8" w:color="auto"/>
            </w:tcBorders>
            <w:gridSpan w:val="4"/>
            <w:vMerge w:val="restart"/>
          </w:tcPr>
          <w:p>
            <w:pPr>
              <w:jc w:val="center"/>
              <w:ind w:right="100"/>
              <w:spacing w:after="0"/>
              <w:rPr>
                <w:sz w:val="20"/>
                <w:szCs w:val="20"/>
                <w:color w:val="auto"/>
              </w:rPr>
            </w:pPr>
            <w:r>
              <w:rPr>
                <w:rFonts w:ascii="Arial" w:cs="Arial" w:eastAsia="Arial" w:hAnsi="Arial"/>
                <w:sz w:val="10"/>
                <w:szCs w:val="10"/>
                <w:b w:val="1"/>
                <w:bCs w:val="1"/>
                <w:color w:val="auto"/>
              </w:rPr>
              <w:t>Estimated Future Payouts</w:t>
            </w:r>
          </w:p>
        </w:tc>
        <w:tc>
          <w:tcPr>
            <w:tcW w:w="960" w:type="dxa"/>
            <w:vAlign w:val="bottom"/>
            <w:tcBorders>
              <w:top w:val="single" w:sz="8" w:color="auto"/>
            </w:tcBorders>
          </w:tcPr>
          <w:p>
            <w:pPr>
              <w:jc w:val="center"/>
              <w:ind w:right="31"/>
              <w:spacing w:after="0"/>
              <w:rPr>
                <w:sz w:val="20"/>
                <w:szCs w:val="20"/>
                <w:color w:val="auto"/>
              </w:rPr>
            </w:pPr>
            <w:r>
              <w:rPr>
                <w:rFonts w:ascii="Arial" w:cs="Arial" w:eastAsia="Arial" w:hAnsi="Arial"/>
                <w:sz w:val="10"/>
                <w:szCs w:val="10"/>
                <w:b w:val="1"/>
                <w:bCs w:val="1"/>
                <w:color w:val="auto"/>
              </w:rPr>
              <w:t>All Other</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rPr>
              <w:t>Grant</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1820" w:type="dxa"/>
            <w:vAlign w:val="bottom"/>
            <w:gridSpan w:val="4"/>
            <w:vMerge w:val="continue"/>
          </w:tcPr>
          <w:p>
            <w:pPr>
              <w:spacing w:after="0"/>
              <w:rPr>
                <w:sz w:val="5"/>
                <w:szCs w:val="5"/>
                <w:color w:val="auto"/>
              </w:rPr>
            </w:pPr>
          </w:p>
        </w:tc>
        <w:tc>
          <w:tcPr>
            <w:tcW w:w="960" w:type="dxa"/>
            <w:vAlign w:val="bottom"/>
            <w:vMerge w:val="restart"/>
          </w:tcPr>
          <w:p>
            <w:pPr>
              <w:jc w:val="center"/>
              <w:ind w:right="31"/>
              <w:spacing w:after="0"/>
              <w:rPr>
                <w:sz w:val="20"/>
                <w:szCs w:val="20"/>
                <w:color w:val="auto"/>
              </w:rPr>
            </w:pPr>
            <w:r>
              <w:rPr>
                <w:rFonts w:ascii="Arial" w:cs="Arial" w:eastAsia="Arial" w:hAnsi="Arial"/>
                <w:sz w:val="10"/>
                <w:szCs w:val="10"/>
                <w:b w:val="1"/>
                <w:bCs w:val="1"/>
                <w:color w:val="auto"/>
              </w:rPr>
              <w:t>Stock Awards:</w:t>
            </w:r>
          </w:p>
        </w:tc>
        <w:tc>
          <w:tcPr>
            <w:tcW w:w="7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Date Fair</w:t>
            </w: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4"/>
            <w:vMerge w:val="restart"/>
          </w:tcPr>
          <w:p>
            <w:pPr>
              <w:jc w:val="center"/>
              <w:ind w:right="100"/>
              <w:spacing w:after="0"/>
              <w:rPr>
                <w:sz w:val="20"/>
                <w:szCs w:val="20"/>
                <w:color w:val="auto"/>
              </w:rPr>
            </w:pPr>
            <w:r>
              <w:rPr>
                <w:rFonts w:ascii="Arial" w:cs="Arial" w:eastAsia="Arial" w:hAnsi="Arial"/>
                <w:sz w:val="10"/>
                <w:szCs w:val="10"/>
                <w:b w:val="1"/>
                <w:bCs w:val="1"/>
                <w:color w:val="auto"/>
              </w:rPr>
              <w:t>Under Non-Equity</w:t>
            </w:r>
          </w:p>
        </w:tc>
        <w:tc>
          <w:tcPr>
            <w:tcW w:w="54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Under Equity</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4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restart"/>
          </w:tcPr>
          <w:p>
            <w:pPr>
              <w:jc w:val="center"/>
              <w:ind w:right="31"/>
              <w:spacing w:after="0"/>
              <w:rPr>
                <w:sz w:val="20"/>
                <w:szCs w:val="20"/>
                <w:color w:val="auto"/>
              </w:rPr>
            </w:pPr>
            <w:r>
              <w:rPr>
                <w:rFonts w:ascii="Arial" w:cs="Arial" w:eastAsia="Arial" w:hAnsi="Arial"/>
                <w:sz w:val="10"/>
                <w:szCs w:val="10"/>
                <w:b w:val="1"/>
                <w:bCs w:val="1"/>
                <w:color w:val="auto"/>
              </w:rPr>
              <w:t>Number of</w:t>
            </w:r>
          </w:p>
        </w:tc>
        <w:tc>
          <w:tcPr>
            <w:tcW w:w="780" w:type="dxa"/>
            <w:vAlign w:val="bottom"/>
            <w:vMerge w:val="restart"/>
          </w:tcPr>
          <w:p>
            <w:pPr>
              <w:jc w:val="center"/>
              <w:spacing w:after="0" w:line="108" w:lineRule="exact"/>
              <w:rPr>
                <w:sz w:val="20"/>
                <w:szCs w:val="20"/>
                <w:color w:val="auto"/>
              </w:rPr>
            </w:pPr>
            <w:r>
              <w:rPr>
                <w:rFonts w:ascii="Arial" w:cs="Arial" w:eastAsia="Arial" w:hAnsi="Arial"/>
                <w:sz w:val="10"/>
                <w:szCs w:val="10"/>
                <w:b w:val="1"/>
                <w:bCs w:val="1"/>
                <w:color w:val="auto"/>
              </w:rPr>
              <w:t>Value of Stock</w:t>
            </w:r>
          </w:p>
        </w:tc>
        <w:tc>
          <w:tcPr>
            <w:tcW w:w="0" w:type="dxa"/>
            <w:vAlign w:val="bottom"/>
          </w:tcPr>
          <w:p>
            <w:pPr>
              <w:spacing w:after="0"/>
              <w:rPr>
                <w:sz w:val="1"/>
                <w:szCs w:val="1"/>
                <w:color w:val="auto"/>
              </w:rPr>
            </w:pPr>
          </w:p>
        </w:tc>
      </w:tr>
      <w:tr>
        <w:trPr>
          <w:trHeight w:val="50"/>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4"/>
            <w:vMerge w:val="restart"/>
          </w:tcPr>
          <w:p>
            <w:pPr>
              <w:jc w:val="center"/>
              <w:ind w:right="100"/>
              <w:spacing w:after="0" w:line="117" w:lineRule="exact"/>
              <w:rPr>
                <w:sz w:val="20"/>
                <w:szCs w:val="20"/>
                <w:color w:val="auto"/>
              </w:rPr>
            </w:pPr>
            <w:r>
              <w:rPr>
                <w:rFonts w:ascii="Arial" w:cs="Arial" w:eastAsia="Arial" w:hAnsi="Arial"/>
                <w:sz w:val="9"/>
                <w:szCs w:val="9"/>
                <w:b w:val="1"/>
                <w:bCs w:val="1"/>
                <w:color w:val="auto"/>
              </w:rPr>
              <w:t>Incentive Plan Awards</w:t>
            </w:r>
            <w:r>
              <w:rPr>
                <w:rFonts w:ascii="Arial" w:cs="Arial" w:eastAsia="Arial" w:hAnsi="Arial"/>
                <w:sz w:val="13"/>
                <w:szCs w:val="13"/>
                <w:b w:val="1"/>
                <w:bCs w:val="1"/>
                <w:color w:val="auto"/>
                <w:vertAlign w:val="superscript"/>
              </w:rPr>
              <w:t>(1)</w:t>
            </w:r>
          </w:p>
        </w:tc>
        <w:tc>
          <w:tcPr>
            <w:tcW w:w="1820" w:type="dxa"/>
            <w:vAlign w:val="bottom"/>
            <w:gridSpan w:val="4"/>
            <w:vMerge w:val="restart"/>
          </w:tcPr>
          <w:p>
            <w:pPr>
              <w:jc w:val="center"/>
              <w:ind w:right="80"/>
              <w:spacing w:after="0"/>
              <w:rPr>
                <w:sz w:val="20"/>
                <w:szCs w:val="20"/>
                <w:color w:val="auto"/>
              </w:rPr>
            </w:pPr>
            <w:r>
              <w:rPr>
                <w:rFonts w:ascii="Arial" w:cs="Arial" w:eastAsia="Arial" w:hAnsi="Arial"/>
                <w:sz w:val="10"/>
                <w:szCs w:val="10"/>
                <w:b w:val="1"/>
                <w:bCs w:val="1"/>
                <w:color w:val="auto"/>
              </w:rPr>
              <w:t>Incentive Plan Awards</w:t>
            </w:r>
          </w:p>
        </w:tc>
        <w:tc>
          <w:tcPr>
            <w:tcW w:w="9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and Option</w:t>
            </w:r>
          </w:p>
        </w:tc>
        <w:tc>
          <w:tcPr>
            <w:tcW w:w="0" w:type="dxa"/>
            <w:vAlign w:val="bottom"/>
          </w:tcPr>
          <w:p>
            <w:pPr>
              <w:spacing w:after="0"/>
              <w:rPr>
                <w:sz w:val="1"/>
                <w:szCs w:val="1"/>
                <w:color w:val="auto"/>
              </w:rPr>
            </w:pPr>
          </w:p>
        </w:tc>
      </w:tr>
      <w:tr>
        <w:trPr>
          <w:trHeight w:val="29"/>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jc w:val="center"/>
              <w:ind w:right="31"/>
              <w:spacing w:after="0" w:line="30" w:lineRule="exact"/>
              <w:rPr>
                <w:sz w:val="20"/>
                <w:szCs w:val="20"/>
                <w:color w:val="auto"/>
              </w:rPr>
            </w:pPr>
            <w:r>
              <w:rPr>
                <w:rFonts w:ascii="Arial" w:cs="Arial" w:eastAsia="Arial" w:hAnsi="Arial"/>
                <w:sz w:val="3"/>
                <w:szCs w:val="3"/>
                <w:b w:val="1"/>
                <w:bCs w:val="1"/>
                <w:color w:val="auto"/>
              </w:rPr>
              <w:t>Shares of</w:t>
            </w: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Grant</w:t>
            </w:r>
          </w:p>
        </w:tc>
        <w:tc>
          <w:tcPr>
            <w:tcW w:w="660" w:type="dxa"/>
            <w:vAlign w:val="bottom"/>
          </w:tcPr>
          <w:p>
            <w:pPr>
              <w:jc w:val="center"/>
              <w:ind w:right="29"/>
              <w:spacing w:after="0"/>
              <w:rPr>
                <w:sz w:val="20"/>
                <w:szCs w:val="20"/>
                <w:color w:val="auto"/>
              </w:rPr>
            </w:pPr>
            <w:r>
              <w:rPr>
                <w:rFonts w:ascii="Arial" w:cs="Arial" w:eastAsia="Arial" w:hAnsi="Arial"/>
                <w:sz w:val="10"/>
                <w:szCs w:val="10"/>
                <w:b w:val="1"/>
                <w:bCs w:val="1"/>
                <w:color w:val="auto"/>
              </w:rPr>
              <w:t>Threshold</w:t>
            </w:r>
          </w:p>
        </w:tc>
        <w:tc>
          <w:tcPr>
            <w:tcW w:w="660" w:type="dxa"/>
            <w:vAlign w:val="bottom"/>
          </w:tcPr>
          <w:p>
            <w:pPr>
              <w:jc w:val="right"/>
              <w:ind w:right="148"/>
              <w:spacing w:after="0"/>
              <w:rPr>
                <w:sz w:val="20"/>
                <w:szCs w:val="20"/>
                <w:color w:val="auto"/>
              </w:rPr>
            </w:pPr>
            <w:r>
              <w:rPr>
                <w:rFonts w:ascii="Arial" w:cs="Arial" w:eastAsia="Arial" w:hAnsi="Arial"/>
                <w:sz w:val="10"/>
                <w:szCs w:val="10"/>
                <w:b w:val="1"/>
                <w:bCs w:val="1"/>
                <w:color w:val="auto"/>
              </w:rPr>
              <w:t>Target</w:t>
            </w: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Maximum</w:t>
            </w: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rPr>
              <w:t>Threshold</w:t>
            </w:r>
          </w:p>
        </w:tc>
        <w:tc>
          <w:tcPr>
            <w:tcW w:w="680" w:type="dxa"/>
            <w:vAlign w:val="bottom"/>
          </w:tcPr>
          <w:p>
            <w:pPr>
              <w:jc w:val="right"/>
              <w:ind w:right="128"/>
              <w:spacing w:after="0"/>
              <w:rPr>
                <w:sz w:val="20"/>
                <w:szCs w:val="20"/>
                <w:color w:val="auto"/>
              </w:rPr>
            </w:pPr>
            <w:r>
              <w:rPr>
                <w:rFonts w:ascii="Arial" w:cs="Arial" w:eastAsia="Arial" w:hAnsi="Arial"/>
                <w:sz w:val="10"/>
                <w:szCs w:val="10"/>
                <w:b w:val="1"/>
                <w:bCs w:val="1"/>
                <w:color w:val="auto"/>
              </w:rPr>
              <w:t>Target</w:t>
            </w:r>
          </w:p>
        </w:tc>
        <w:tc>
          <w:tcPr>
            <w:tcW w:w="6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Maximum</w:t>
            </w:r>
          </w:p>
        </w:tc>
        <w:tc>
          <w:tcPr>
            <w:tcW w:w="960" w:type="dxa"/>
            <w:vAlign w:val="bottom"/>
          </w:tcPr>
          <w:p>
            <w:pPr>
              <w:jc w:val="center"/>
              <w:ind w:right="51"/>
              <w:spacing w:after="0"/>
              <w:rPr>
                <w:sz w:val="20"/>
                <w:szCs w:val="20"/>
                <w:color w:val="auto"/>
              </w:rPr>
            </w:pPr>
            <w:r>
              <w:rPr>
                <w:rFonts w:ascii="Arial" w:cs="Arial" w:eastAsia="Arial" w:hAnsi="Arial"/>
                <w:sz w:val="10"/>
                <w:szCs w:val="10"/>
                <w:b w:val="1"/>
                <w:bCs w:val="1"/>
                <w:color w:val="auto"/>
              </w:rPr>
              <w:t>Stock or Units</w:t>
            </w:r>
          </w:p>
        </w:tc>
        <w:tc>
          <w:tcPr>
            <w:tcW w:w="780" w:type="dxa"/>
            <w:vAlign w:val="bottom"/>
          </w:tcPr>
          <w:p>
            <w:pPr>
              <w:jc w:val="center"/>
              <w:spacing w:after="0" w:line="128"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(6)</w:t>
            </w:r>
          </w:p>
        </w:tc>
        <w:tc>
          <w:tcPr>
            <w:tcW w:w="0" w:type="dxa"/>
            <w:vAlign w:val="bottom"/>
          </w:tcPr>
          <w:p>
            <w:pPr>
              <w:spacing w:after="0"/>
              <w:rPr>
                <w:sz w:val="1"/>
                <w:szCs w:val="1"/>
                <w:color w:val="auto"/>
              </w:rPr>
            </w:pPr>
          </w:p>
        </w:tc>
      </w:tr>
      <w:tr>
        <w:trPr>
          <w:trHeight w:val="125"/>
        </w:trPr>
        <w:tc>
          <w:tcPr>
            <w:tcW w:w="49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rPr>
              <w:t>Date</w:t>
            </w:r>
          </w:p>
        </w:tc>
        <w:tc>
          <w:tcPr>
            <w:tcW w:w="6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rPr>
              <w:t>($)</w:t>
            </w: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31"/>
              <w:spacing w:after="0"/>
              <w:rPr>
                <w:sz w:val="20"/>
                <w:szCs w:val="20"/>
                <w:color w:val="auto"/>
              </w:rPr>
            </w:pPr>
            <w:r>
              <w:rPr>
                <w:rFonts w:ascii="Arial" w:cs="Arial" w:eastAsia="Arial" w:hAnsi="Arial"/>
                <w:sz w:val="10"/>
                <w:szCs w:val="10"/>
                <w:b w:val="1"/>
                <w:bCs w:val="1"/>
                <w:color w:val="auto"/>
                <w:w w:val="97"/>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0" w:type="dxa"/>
            <w:vAlign w:val="bottom"/>
          </w:tcPr>
          <w:p>
            <w:pPr>
              <w:spacing w:after="0"/>
              <w:rPr>
                <w:sz w:val="1"/>
                <w:szCs w:val="1"/>
                <w:color w:val="auto"/>
              </w:rPr>
            </w:pPr>
          </w:p>
        </w:tc>
      </w:tr>
      <w:tr>
        <w:trPr>
          <w:trHeight w:val="124"/>
        </w:trPr>
        <w:tc>
          <w:tcPr>
            <w:tcW w:w="4960" w:type="dxa"/>
            <w:vAlign w:val="bottom"/>
          </w:tcPr>
          <w:p>
            <w:pPr>
              <w:spacing w:after="0"/>
              <w:rPr>
                <w:sz w:val="20"/>
                <w:szCs w:val="20"/>
                <w:color w:val="auto"/>
              </w:rPr>
            </w:pPr>
            <w:r>
              <w:rPr>
                <w:rFonts w:ascii="Arial" w:cs="Arial" w:eastAsia="Arial" w:hAnsi="Arial"/>
                <w:sz w:val="10"/>
                <w:szCs w:val="10"/>
                <w:b w:val="1"/>
                <w:bCs w:val="1"/>
                <w:color w:val="auto"/>
              </w:rPr>
              <w:t>Rohit Kapoor</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jc w:val="right"/>
              <w:ind w:right="28"/>
              <w:spacing w:after="0"/>
              <w:rPr>
                <w:sz w:val="20"/>
                <w:szCs w:val="20"/>
                <w:color w:val="auto"/>
              </w:rPr>
            </w:pPr>
            <w:r>
              <w:rPr>
                <w:rFonts w:ascii="Arial" w:cs="Arial" w:eastAsia="Arial" w:hAnsi="Arial"/>
                <w:sz w:val="10"/>
                <w:szCs w:val="10"/>
                <w:color w:val="auto"/>
              </w:rPr>
              <w:t>1,080,000</w:t>
            </w:r>
          </w:p>
        </w:tc>
        <w:tc>
          <w:tcPr>
            <w:tcW w:w="580" w:type="dxa"/>
            <w:vAlign w:val="bottom"/>
          </w:tcPr>
          <w:p>
            <w:pPr>
              <w:jc w:val="right"/>
              <w:spacing w:after="0"/>
              <w:rPr>
                <w:sz w:val="20"/>
                <w:szCs w:val="20"/>
                <w:color w:val="auto"/>
              </w:rPr>
            </w:pPr>
            <w:r>
              <w:rPr>
                <w:rFonts w:ascii="Arial" w:cs="Arial" w:eastAsia="Arial" w:hAnsi="Arial"/>
                <w:sz w:val="10"/>
                <w:szCs w:val="10"/>
                <w:color w:val="auto"/>
              </w:rPr>
              <w:t>2,234,520</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2/20/20</w:t>
            </w: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0"/>
                <w:szCs w:val="10"/>
                <w:color w:val="auto"/>
              </w:rPr>
              <w:t>23,520</w:t>
            </w:r>
            <w:r>
              <w:rPr>
                <w:rFonts w:ascii="Arial" w:cs="Arial" w:eastAsia="Arial" w:hAnsi="Arial"/>
                <w:sz w:val="15"/>
                <w:szCs w:val="15"/>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0"/>
                <w:szCs w:val="10"/>
                <w:color w:val="auto"/>
              </w:rPr>
              <w:t>1,847,731</w:t>
            </w: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2/20/20</w:t>
            </w: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Arial" w:cs="Arial" w:eastAsia="Arial" w:hAnsi="Arial"/>
                <w:sz w:val="10"/>
                <w:szCs w:val="10"/>
                <w:color w:val="auto"/>
              </w:rPr>
              <w:t>21,330</w:t>
            </w:r>
            <w:r>
              <w:rPr>
                <w:rFonts w:ascii="Arial" w:cs="Arial" w:eastAsia="Arial" w:hAnsi="Arial"/>
                <w:sz w:val="15"/>
                <w:szCs w:val="15"/>
                <w:color w:val="auto"/>
                <w:vertAlign w:val="superscript"/>
              </w:rPr>
              <w:t>(2)</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42,660</w:t>
            </w:r>
          </w:p>
        </w:tc>
        <w:tc>
          <w:tcPr>
            <w:tcW w:w="9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1,675,685</w:t>
            </w:r>
          </w:p>
        </w:tc>
        <w:tc>
          <w:tcPr>
            <w:tcW w:w="0" w:type="dxa"/>
            <w:vAlign w:val="bottom"/>
          </w:tcPr>
          <w:p>
            <w:pPr>
              <w:spacing w:after="0"/>
              <w:rPr>
                <w:sz w:val="1"/>
                <w:szCs w:val="1"/>
                <w:color w:val="auto"/>
              </w:rPr>
            </w:pPr>
          </w:p>
        </w:tc>
      </w:tr>
      <w:tr>
        <w:trPr>
          <w:trHeight w:val="139"/>
        </w:trPr>
        <w:tc>
          <w:tcPr>
            <w:tcW w:w="496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2/20/20</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0"/>
                <w:szCs w:val="10"/>
                <w:color w:val="auto"/>
              </w:rPr>
              <w:t>21,330</w:t>
            </w:r>
            <w:r>
              <w:rPr>
                <w:rFonts w:ascii="Arial" w:cs="Arial" w:eastAsia="Arial" w:hAnsi="Arial"/>
                <w:sz w:val="15"/>
                <w:szCs w:val="15"/>
                <w:color w:val="auto"/>
                <w:vertAlign w:val="superscript"/>
              </w:rPr>
              <w:t>(3)</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42,660</w:t>
            </w:r>
          </w:p>
        </w:tc>
        <w:tc>
          <w:tcPr>
            <w:tcW w:w="9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2,177,793</w:t>
            </w:r>
          </w:p>
        </w:tc>
        <w:tc>
          <w:tcPr>
            <w:tcW w:w="0" w:type="dxa"/>
            <w:vAlign w:val="bottom"/>
          </w:tcPr>
          <w:p>
            <w:pPr>
              <w:spacing w:after="0"/>
              <w:rPr>
                <w:sz w:val="1"/>
                <w:szCs w:val="1"/>
                <w:color w:val="auto"/>
              </w:rPr>
            </w:pPr>
          </w:p>
        </w:tc>
      </w:tr>
      <w:tr>
        <w:trPr>
          <w:trHeight w:val="243"/>
        </w:trPr>
        <w:tc>
          <w:tcPr>
            <w:tcW w:w="4960" w:type="dxa"/>
            <w:vAlign w:val="bottom"/>
            <w:shd w:val="clear" w:color="auto" w:fill="F2F7FE"/>
          </w:tcPr>
          <w:p>
            <w:pPr>
              <w:spacing w:after="0"/>
              <w:rPr>
                <w:sz w:val="20"/>
                <w:szCs w:val="20"/>
                <w:color w:val="auto"/>
              </w:rPr>
            </w:pPr>
            <w:r>
              <w:rPr>
                <w:rFonts w:ascii="Arial" w:cs="Arial" w:eastAsia="Arial" w:hAnsi="Arial"/>
                <w:sz w:val="10"/>
                <w:szCs w:val="10"/>
                <w:b w:val="1"/>
                <w:bCs w:val="1"/>
                <w:color w:val="auto"/>
              </w:rPr>
              <w:t>Maurizio Nicolelli</w:t>
            </w:r>
          </w:p>
        </w:tc>
        <w:tc>
          <w:tcPr>
            <w:tcW w:w="120" w:type="dxa"/>
            <w:vAlign w:val="bottom"/>
            <w:shd w:val="clear" w:color="auto" w:fill="F2F7FE"/>
          </w:tcPr>
          <w:p>
            <w:pPr>
              <w:spacing w:after="0"/>
              <w:rPr>
                <w:sz w:val="21"/>
                <w:szCs w:val="21"/>
                <w:color w:val="auto"/>
              </w:rPr>
            </w:pPr>
          </w:p>
        </w:tc>
        <w:tc>
          <w:tcPr>
            <w:tcW w:w="420" w:type="dxa"/>
            <w:vAlign w:val="bottom"/>
            <w:vMerge w:val="restart"/>
            <w:shd w:val="clear" w:color="auto" w:fill="F2F7FE"/>
          </w:tcPr>
          <w:p>
            <w:pPr>
              <w:jc w:val="right"/>
              <w:spacing w:after="0"/>
              <w:rPr>
                <w:sz w:val="20"/>
                <w:szCs w:val="20"/>
                <w:color w:val="auto"/>
              </w:rPr>
            </w:pPr>
            <w:r>
              <w:rPr>
                <w:rFonts w:ascii="Arial" w:cs="Arial" w:eastAsia="Arial" w:hAnsi="Arial"/>
                <w:sz w:val="10"/>
                <w:szCs w:val="10"/>
                <w:color w:val="auto"/>
              </w:rPr>
              <w:t>2/3/20</w:t>
            </w:r>
          </w:p>
        </w:tc>
        <w:tc>
          <w:tcPr>
            <w:tcW w:w="100" w:type="dxa"/>
            <w:vAlign w:val="bottom"/>
            <w:shd w:val="clear" w:color="auto" w:fill="F2F7FE"/>
          </w:tcPr>
          <w:p>
            <w:pPr>
              <w:spacing w:after="0"/>
              <w:rPr>
                <w:sz w:val="21"/>
                <w:szCs w:val="21"/>
                <w:color w:val="auto"/>
              </w:rPr>
            </w:pPr>
          </w:p>
        </w:tc>
        <w:tc>
          <w:tcPr>
            <w:tcW w:w="660" w:type="dxa"/>
            <w:vAlign w:val="bottom"/>
            <w:shd w:val="clear" w:color="auto" w:fill="F2F7FE"/>
          </w:tcPr>
          <w:p>
            <w:pPr>
              <w:spacing w:after="0"/>
              <w:rPr>
                <w:sz w:val="21"/>
                <w:szCs w:val="21"/>
                <w:color w:val="auto"/>
              </w:rPr>
            </w:pPr>
          </w:p>
        </w:tc>
        <w:tc>
          <w:tcPr>
            <w:tcW w:w="660" w:type="dxa"/>
            <w:vAlign w:val="bottom"/>
            <w:shd w:val="clear" w:color="auto" w:fill="F2F7FE"/>
          </w:tcPr>
          <w:p>
            <w:pPr>
              <w:jc w:val="right"/>
              <w:ind w:right="28"/>
              <w:spacing w:after="0"/>
              <w:rPr>
                <w:sz w:val="20"/>
                <w:szCs w:val="20"/>
                <w:color w:val="auto"/>
              </w:rPr>
            </w:pPr>
            <w:r>
              <w:rPr>
                <w:rFonts w:ascii="Arial" w:cs="Arial" w:eastAsia="Arial" w:hAnsi="Arial"/>
                <w:sz w:val="10"/>
                <w:szCs w:val="10"/>
                <w:color w:val="auto"/>
              </w:rPr>
              <w:t>324,129</w:t>
            </w:r>
          </w:p>
        </w:tc>
        <w:tc>
          <w:tcPr>
            <w:tcW w:w="700" w:type="dxa"/>
            <w:vAlign w:val="bottom"/>
            <w:gridSpan w:val="2"/>
            <w:shd w:val="clear" w:color="auto" w:fill="F2F7FE"/>
          </w:tcPr>
          <w:p>
            <w:pPr>
              <w:jc w:val="right"/>
              <w:ind w:right="120"/>
              <w:spacing w:after="0"/>
              <w:rPr>
                <w:sz w:val="20"/>
                <w:szCs w:val="20"/>
                <w:color w:val="auto"/>
              </w:rPr>
            </w:pPr>
            <w:r>
              <w:rPr>
                <w:rFonts w:ascii="Arial" w:cs="Arial" w:eastAsia="Arial" w:hAnsi="Arial"/>
                <w:sz w:val="10"/>
                <w:szCs w:val="10"/>
                <w:color w:val="auto"/>
              </w:rPr>
              <w:t>735,300</w:t>
            </w:r>
          </w:p>
        </w:tc>
        <w:tc>
          <w:tcPr>
            <w:tcW w:w="540" w:type="dxa"/>
            <w:vAlign w:val="bottom"/>
            <w:shd w:val="clear" w:color="auto" w:fill="F2F7FE"/>
          </w:tcPr>
          <w:p>
            <w:pPr>
              <w:spacing w:after="0"/>
              <w:rPr>
                <w:sz w:val="21"/>
                <w:szCs w:val="21"/>
                <w:color w:val="auto"/>
              </w:rPr>
            </w:pPr>
          </w:p>
        </w:tc>
        <w:tc>
          <w:tcPr>
            <w:tcW w:w="680" w:type="dxa"/>
            <w:vAlign w:val="bottom"/>
            <w:shd w:val="clear" w:color="auto" w:fill="F2F7FE"/>
          </w:tcPr>
          <w:p>
            <w:pPr>
              <w:spacing w:after="0"/>
              <w:rPr>
                <w:sz w:val="21"/>
                <w:szCs w:val="21"/>
                <w:color w:val="auto"/>
              </w:rPr>
            </w:pPr>
          </w:p>
        </w:tc>
        <w:tc>
          <w:tcPr>
            <w:tcW w:w="520" w:type="dxa"/>
            <w:vAlign w:val="bottom"/>
            <w:shd w:val="clear" w:color="auto" w:fill="F2F7FE"/>
          </w:tcPr>
          <w:p>
            <w:pPr>
              <w:spacing w:after="0"/>
              <w:rPr>
                <w:sz w:val="21"/>
                <w:szCs w:val="21"/>
                <w:color w:val="auto"/>
              </w:rPr>
            </w:pPr>
          </w:p>
        </w:tc>
        <w:tc>
          <w:tcPr>
            <w:tcW w:w="80" w:type="dxa"/>
            <w:vAlign w:val="bottom"/>
            <w:shd w:val="clear" w:color="auto" w:fill="F2F7FE"/>
          </w:tcPr>
          <w:p>
            <w:pPr>
              <w:spacing w:after="0"/>
              <w:rPr>
                <w:sz w:val="21"/>
                <w:szCs w:val="21"/>
                <w:color w:val="auto"/>
              </w:rPr>
            </w:pPr>
          </w:p>
        </w:tc>
        <w:tc>
          <w:tcPr>
            <w:tcW w:w="960" w:type="dxa"/>
            <w:vAlign w:val="bottom"/>
            <w:vMerge w:val="restart"/>
            <w:shd w:val="clear" w:color="auto" w:fill="F2F7FE"/>
          </w:tcPr>
          <w:p>
            <w:pPr>
              <w:jc w:val="right"/>
              <w:spacing w:after="0"/>
              <w:rPr>
                <w:sz w:val="20"/>
                <w:szCs w:val="20"/>
                <w:color w:val="auto"/>
              </w:rPr>
            </w:pPr>
            <w:r>
              <w:rPr>
                <w:rFonts w:ascii="Arial" w:cs="Arial" w:eastAsia="Arial" w:hAnsi="Arial"/>
                <w:sz w:val="10"/>
                <w:szCs w:val="10"/>
                <w:color w:val="auto"/>
              </w:rPr>
              <w:t>5,898</w:t>
            </w:r>
            <w:r>
              <w:rPr>
                <w:rFonts w:ascii="Arial" w:cs="Arial" w:eastAsia="Arial" w:hAnsi="Arial"/>
                <w:sz w:val="15"/>
                <w:szCs w:val="15"/>
                <w:color w:val="auto"/>
                <w:vertAlign w:val="superscript"/>
              </w:rPr>
              <w:t>(5)</w:t>
            </w:r>
          </w:p>
        </w:tc>
        <w:tc>
          <w:tcPr>
            <w:tcW w:w="780" w:type="dxa"/>
            <w:vAlign w:val="bottom"/>
            <w:vMerge w:val="restart"/>
            <w:shd w:val="clear" w:color="auto" w:fill="F2F7FE"/>
          </w:tcPr>
          <w:p>
            <w:pPr>
              <w:jc w:val="right"/>
              <w:spacing w:after="0"/>
              <w:rPr>
                <w:sz w:val="20"/>
                <w:szCs w:val="20"/>
                <w:color w:val="auto"/>
              </w:rPr>
            </w:pPr>
            <w:r>
              <w:rPr>
                <w:rFonts w:ascii="Arial" w:cs="Arial" w:eastAsia="Arial" w:hAnsi="Arial"/>
                <w:sz w:val="10"/>
                <w:szCs w:val="10"/>
                <w:color w:val="auto"/>
              </w:rPr>
              <w:t>431,203</w:t>
            </w:r>
          </w:p>
        </w:tc>
        <w:tc>
          <w:tcPr>
            <w:tcW w:w="0" w:type="dxa"/>
            <w:vAlign w:val="bottom"/>
          </w:tcPr>
          <w:p>
            <w:pPr>
              <w:spacing w:after="0"/>
              <w:rPr>
                <w:sz w:val="1"/>
                <w:szCs w:val="1"/>
                <w:color w:val="auto"/>
              </w:rPr>
            </w:pPr>
          </w:p>
        </w:tc>
      </w:tr>
      <w:tr>
        <w:trPr>
          <w:trHeight w:val="97"/>
        </w:trPr>
        <w:tc>
          <w:tcPr>
            <w:tcW w:w="4960" w:type="dxa"/>
            <w:vAlign w:val="bottom"/>
            <w:shd w:val="clear" w:color="auto" w:fill="F2F7FE"/>
          </w:tcPr>
          <w:p>
            <w:pPr>
              <w:spacing w:after="0"/>
              <w:rPr>
                <w:sz w:val="8"/>
                <w:szCs w:val="8"/>
                <w:color w:val="auto"/>
              </w:rPr>
            </w:pPr>
          </w:p>
        </w:tc>
        <w:tc>
          <w:tcPr>
            <w:tcW w:w="120" w:type="dxa"/>
            <w:vAlign w:val="bottom"/>
            <w:shd w:val="clear" w:color="auto" w:fill="F2F7FE"/>
          </w:tcPr>
          <w:p>
            <w:pPr>
              <w:spacing w:after="0"/>
              <w:rPr>
                <w:sz w:val="8"/>
                <w:szCs w:val="8"/>
                <w:color w:val="auto"/>
              </w:rPr>
            </w:pPr>
          </w:p>
        </w:tc>
        <w:tc>
          <w:tcPr>
            <w:tcW w:w="420" w:type="dxa"/>
            <w:vAlign w:val="bottom"/>
            <w:vMerge w:val="continue"/>
            <w:shd w:val="clear" w:color="auto" w:fill="F2F7FE"/>
          </w:tcPr>
          <w:p>
            <w:pPr>
              <w:spacing w:after="0"/>
              <w:rPr>
                <w:sz w:val="8"/>
                <w:szCs w:val="8"/>
                <w:color w:val="auto"/>
              </w:rPr>
            </w:pPr>
          </w:p>
        </w:tc>
        <w:tc>
          <w:tcPr>
            <w:tcW w:w="100" w:type="dxa"/>
            <w:vAlign w:val="bottom"/>
            <w:shd w:val="clear" w:color="auto" w:fill="F2F7FE"/>
          </w:tcPr>
          <w:p>
            <w:pPr>
              <w:spacing w:after="0"/>
              <w:rPr>
                <w:sz w:val="8"/>
                <w:szCs w:val="8"/>
                <w:color w:val="auto"/>
              </w:rPr>
            </w:pPr>
          </w:p>
        </w:tc>
        <w:tc>
          <w:tcPr>
            <w:tcW w:w="660" w:type="dxa"/>
            <w:vAlign w:val="bottom"/>
            <w:shd w:val="clear" w:color="auto" w:fill="F2F7FE"/>
          </w:tcPr>
          <w:p>
            <w:pPr>
              <w:spacing w:after="0"/>
              <w:rPr>
                <w:sz w:val="8"/>
                <w:szCs w:val="8"/>
                <w:color w:val="auto"/>
              </w:rPr>
            </w:pPr>
          </w:p>
        </w:tc>
        <w:tc>
          <w:tcPr>
            <w:tcW w:w="660" w:type="dxa"/>
            <w:vAlign w:val="bottom"/>
            <w:shd w:val="clear" w:color="auto" w:fill="F2F7FE"/>
          </w:tcPr>
          <w:p>
            <w:pPr>
              <w:spacing w:after="0"/>
              <w:rPr>
                <w:sz w:val="8"/>
                <w:szCs w:val="8"/>
                <w:color w:val="auto"/>
              </w:rPr>
            </w:pPr>
          </w:p>
        </w:tc>
        <w:tc>
          <w:tcPr>
            <w:tcW w:w="580" w:type="dxa"/>
            <w:vAlign w:val="bottom"/>
            <w:shd w:val="clear" w:color="auto" w:fill="F2F7FE"/>
          </w:tcPr>
          <w:p>
            <w:pPr>
              <w:spacing w:after="0"/>
              <w:rPr>
                <w:sz w:val="8"/>
                <w:szCs w:val="8"/>
                <w:color w:val="auto"/>
              </w:rPr>
            </w:pPr>
          </w:p>
        </w:tc>
        <w:tc>
          <w:tcPr>
            <w:tcW w:w="120" w:type="dxa"/>
            <w:vAlign w:val="bottom"/>
            <w:shd w:val="clear" w:color="auto" w:fill="F2F7FE"/>
          </w:tcPr>
          <w:p>
            <w:pPr>
              <w:spacing w:after="0"/>
              <w:rPr>
                <w:sz w:val="8"/>
                <w:szCs w:val="8"/>
                <w:color w:val="auto"/>
              </w:rPr>
            </w:pPr>
          </w:p>
        </w:tc>
        <w:tc>
          <w:tcPr>
            <w:tcW w:w="540" w:type="dxa"/>
            <w:vAlign w:val="bottom"/>
            <w:shd w:val="clear" w:color="auto" w:fill="F2F7FE"/>
          </w:tcPr>
          <w:p>
            <w:pPr>
              <w:spacing w:after="0"/>
              <w:rPr>
                <w:sz w:val="8"/>
                <w:szCs w:val="8"/>
                <w:color w:val="auto"/>
              </w:rPr>
            </w:pPr>
          </w:p>
        </w:tc>
        <w:tc>
          <w:tcPr>
            <w:tcW w:w="680" w:type="dxa"/>
            <w:vAlign w:val="bottom"/>
            <w:shd w:val="clear" w:color="auto" w:fill="F2F7FE"/>
          </w:tcPr>
          <w:p>
            <w:pPr>
              <w:spacing w:after="0"/>
              <w:rPr>
                <w:sz w:val="8"/>
                <w:szCs w:val="8"/>
                <w:color w:val="auto"/>
              </w:rPr>
            </w:pPr>
          </w:p>
        </w:tc>
        <w:tc>
          <w:tcPr>
            <w:tcW w:w="520" w:type="dxa"/>
            <w:vAlign w:val="bottom"/>
            <w:shd w:val="clear" w:color="auto" w:fill="F2F7FE"/>
          </w:tcPr>
          <w:p>
            <w:pPr>
              <w:spacing w:after="0"/>
              <w:rPr>
                <w:sz w:val="8"/>
                <w:szCs w:val="8"/>
                <w:color w:val="auto"/>
              </w:rPr>
            </w:pPr>
          </w:p>
        </w:tc>
        <w:tc>
          <w:tcPr>
            <w:tcW w:w="80" w:type="dxa"/>
            <w:vAlign w:val="bottom"/>
            <w:shd w:val="clear" w:color="auto" w:fill="F2F7FE"/>
          </w:tcPr>
          <w:p>
            <w:pPr>
              <w:spacing w:after="0"/>
              <w:rPr>
                <w:sz w:val="8"/>
                <w:szCs w:val="8"/>
                <w:color w:val="auto"/>
              </w:rPr>
            </w:pPr>
          </w:p>
        </w:tc>
        <w:tc>
          <w:tcPr>
            <w:tcW w:w="960" w:type="dxa"/>
            <w:vAlign w:val="bottom"/>
            <w:vMerge w:val="continue"/>
            <w:shd w:val="clear" w:color="auto" w:fill="F2F7FE"/>
          </w:tcPr>
          <w:p>
            <w:pPr>
              <w:spacing w:after="0"/>
              <w:rPr>
                <w:sz w:val="8"/>
                <w:szCs w:val="8"/>
                <w:color w:val="auto"/>
              </w:rPr>
            </w:pPr>
          </w:p>
        </w:tc>
        <w:tc>
          <w:tcPr>
            <w:tcW w:w="780" w:type="dxa"/>
            <w:vAlign w:val="bottom"/>
            <w:vMerge w:val="continue"/>
            <w:shd w:val="clear" w:color="auto" w:fill="F2F7F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4960" w:type="dxa"/>
            <w:vAlign w:val="bottom"/>
            <w:shd w:val="clear" w:color="auto" w:fill="F2F7FE"/>
          </w:tcPr>
          <w:p>
            <w:pPr>
              <w:spacing w:after="0"/>
              <w:rPr>
                <w:sz w:val="11"/>
                <w:szCs w:val="11"/>
                <w:color w:val="auto"/>
              </w:rPr>
            </w:pPr>
          </w:p>
        </w:tc>
        <w:tc>
          <w:tcPr>
            <w:tcW w:w="120" w:type="dxa"/>
            <w:vAlign w:val="bottom"/>
            <w:shd w:val="clear" w:color="auto" w:fill="F2F7FE"/>
          </w:tcPr>
          <w:p>
            <w:pPr>
              <w:spacing w:after="0"/>
              <w:rPr>
                <w:sz w:val="11"/>
                <w:szCs w:val="11"/>
                <w:color w:val="auto"/>
              </w:rPr>
            </w:pPr>
          </w:p>
        </w:tc>
        <w:tc>
          <w:tcPr>
            <w:tcW w:w="520" w:type="dxa"/>
            <w:vAlign w:val="bottom"/>
            <w:gridSpan w:val="2"/>
            <w:shd w:val="clear" w:color="auto" w:fill="F2F7FE"/>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shd w:val="clear" w:color="auto" w:fill="F2F7FE"/>
          </w:tcPr>
          <w:p>
            <w:pPr>
              <w:spacing w:after="0"/>
              <w:rPr>
                <w:sz w:val="11"/>
                <w:szCs w:val="11"/>
                <w:color w:val="auto"/>
              </w:rPr>
            </w:pPr>
          </w:p>
        </w:tc>
        <w:tc>
          <w:tcPr>
            <w:tcW w:w="660" w:type="dxa"/>
            <w:vAlign w:val="bottom"/>
            <w:shd w:val="clear" w:color="auto" w:fill="F2F7FE"/>
          </w:tcPr>
          <w:p>
            <w:pPr>
              <w:spacing w:after="0"/>
              <w:rPr>
                <w:sz w:val="11"/>
                <w:szCs w:val="11"/>
                <w:color w:val="auto"/>
              </w:rPr>
            </w:pPr>
          </w:p>
        </w:tc>
        <w:tc>
          <w:tcPr>
            <w:tcW w:w="580" w:type="dxa"/>
            <w:vAlign w:val="bottom"/>
            <w:shd w:val="clear" w:color="auto" w:fill="F2F7FE"/>
          </w:tcPr>
          <w:p>
            <w:pPr>
              <w:spacing w:after="0"/>
              <w:rPr>
                <w:sz w:val="11"/>
                <w:szCs w:val="11"/>
                <w:color w:val="auto"/>
              </w:rPr>
            </w:pPr>
          </w:p>
        </w:tc>
        <w:tc>
          <w:tcPr>
            <w:tcW w:w="120" w:type="dxa"/>
            <w:vAlign w:val="bottom"/>
            <w:shd w:val="clear" w:color="auto" w:fill="F2F7FE"/>
          </w:tcPr>
          <w:p>
            <w:pPr>
              <w:spacing w:after="0"/>
              <w:rPr>
                <w:sz w:val="11"/>
                <w:szCs w:val="11"/>
                <w:color w:val="auto"/>
              </w:rPr>
            </w:pPr>
          </w:p>
        </w:tc>
        <w:tc>
          <w:tcPr>
            <w:tcW w:w="540" w:type="dxa"/>
            <w:vAlign w:val="bottom"/>
            <w:shd w:val="clear" w:color="auto" w:fill="F2F7FE"/>
          </w:tcPr>
          <w:p>
            <w:pPr>
              <w:spacing w:after="0"/>
              <w:rPr>
                <w:sz w:val="11"/>
                <w:szCs w:val="11"/>
                <w:color w:val="auto"/>
              </w:rPr>
            </w:pPr>
          </w:p>
        </w:tc>
        <w:tc>
          <w:tcPr>
            <w:tcW w:w="680" w:type="dxa"/>
            <w:vAlign w:val="bottom"/>
            <w:vMerge w:val="restart"/>
            <w:shd w:val="clear" w:color="auto" w:fill="F2F7FE"/>
          </w:tcPr>
          <w:p>
            <w:pPr>
              <w:jc w:val="right"/>
              <w:spacing w:after="0"/>
              <w:rPr>
                <w:sz w:val="20"/>
                <w:szCs w:val="20"/>
                <w:color w:val="auto"/>
              </w:rPr>
            </w:pPr>
            <w:r>
              <w:rPr>
                <w:rFonts w:ascii="Arial" w:cs="Arial" w:eastAsia="Arial" w:hAnsi="Arial"/>
                <w:sz w:val="10"/>
                <w:szCs w:val="10"/>
                <w:color w:val="auto"/>
              </w:rPr>
              <w:t>2,183</w:t>
            </w:r>
            <w:r>
              <w:rPr>
                <w:rFonts w:ascii="Arial" w:cs="Arial" w:eastAsia="Arial" w:hAnsi="Arial"/>
                <w:sz w:val="15"/>
                <w:szCs w:val="15"/>
                <w:color w:val="auto"/>
                <w:vertAlign w:val="superscript"/>
              </w:rPr>
              <w:t>(2)</w:t>
            </w:r>
          </w:p>
        </w:tc>
        <w:tc>
          <w:tcPr>
            <w:tcW w:w="520" w:type="dxa"/>
            <w:vAlign w:val="bottom"/>
            <w:shd w:val="clear" w:color="auto" w:fill="F2F7FE"/>
          </w:tcPr>
          <w:p>
            <w:pPr>
              <w:spacing w:after="0"/>
              <w:rPr>
                <w:sz w:val="11"/>
                <w:szCs w:val="11"/>
                <w:color w:val="auto"/>
              </w:rPr>
            </w:pPr>
          </w:p>
        </w:tc>
        <w:tc>
          <w:tcPr>
            <w:tcW w:w="80" w:type="dxa"/>
            <w:vAlign w:val="bottom"/>
            <w:shd w:val="clear" w:color="auto" w:fill="F2F7FE"/>
          </w:tcPr>
          <w:p>
            <w:pPr>
              <w:spacing w:after="0"/>
              <w:rPr>
                <w:sz w:val="11"/>
                <w:szCs w:val="11"/>
                <w:color w:val="auto"/>
              </w:rPr>
            </w:pPr>
          </w:p>
        </w:tc>
        <w:tc>
          <w:tcPr>
            <w:tcW w:w="960" w:type="dxa"/>
            <w:vAlign w:val="bottom"/>
            <w:shd w:val="clear" w:color="auto" w:fill="F2F7FE"/>
          </w:tcPr>
          <w:p>
            <w:pPr>
              <w:jc w:val="right"/>
              <w:spacing w:after="0" w:line="136" w:lineRule="exact"/>
              <w:rPr>
                <w:sz w:val="20"/>
                <w:szCs w:val="20"/>
                <w:color w:val="auto"/>
              </w:rPr>
            </w:pPr>
            <w:r>
              <w:rPr>
                <w:rFonts w:ascii="Arial" w:cs="Arial" w:eastAsia="Arial" w:hAnsi="Arial"/>
                <w:sz w:val="10"/>
                <w:szCs w:val="10"/>
                <w:color w:val="auto"/>
              </w:rPr>
              <w:t>4,365</w:t>
            </w:r>
            <w:r>
              <w:rPr>
                <w:rFonts w:ascii="Arial" w:cs="Arial" w:eastAsia="Arial" w:hAnsi="Arial"/>
                <w:sz w:val="15"/>
                <w:szCs w:val="15"/>
                <w:color w:val="auto"/>
                <w:vertAlign w:val="superscript"/>
              </w:rPr>
              <w:t>(4)</w:t>
            </w:r>
          </w:p>
        </w:tc>
        <w:tc>
          <w:tcPr>
            <w:tcW w:w="780" w:type="dxa"/>
            <w:vAlign w:val="bottom"/>
            <w:shd w:val="clear" w:color="auto" w:fill="F2F7FE"/>
          </w:tcPr>
          <w:p>
            <w:pPr>
              <w:jc w:val="right"/>
              <w:spacing w:after="0"/>
              <w:rPr>
                <w:sz w:val="20"/>
                <w:szCs w:val="20"/>
                <w:color w:val="auto"/>
              </w:rPr>
            </w:pPr>
            <w:r>
              <w:rPr>
                <w:rFonts w:ascii="Arial" w:cs="Arial" w:eastAsia="Arial" w:hAnsi="Arial"/>
                <w:sz w:val="10"/>
                <w:szCs w:val="10"/>
                <w:color w:val="auto"/>
              </w:rPr>
              <w:t>341,954</w:t>
            </w:r>
          </w:p>
        </w:tc>
        <w:tc>
          <w:tcPr>
            <w:tcW w:w="0" w:type="dxa"/>
            <w:vAlign w:val="bottom"/>
          </w:tcPr>
          <w:p>
            <w:pPr>
              <w:spacing w:after="0"/>
              <w:rPr>
                <w:sz w:val="1"/>
                <w:szCs w:val="1"/>
                <w:color w:val="auto"/>
              </w:rPr>
            </w:pPr>
          </w:p>
        </w:tc>
      </w:tr>
      <w:tr>
        <w:trPr>
          <w:trHeight w:val="97"/>
        </w:trPr>
        <w:tc>
          <w:tcPr>
            <w:tcW w:w="4960" w:type="dxa"/>
            <w:vAlign w:val="bottom"/>
            <w:shd w:val="clear" w:color="auto" w:fill="F2F7FE"/>
          </w:tcPr>
          <w:p>
            <w:pPr>
              <w:spacing w:after="0"/>
              <w:rPr>
                <w:sz w:val="8"/>
                <w:szCs w:val="8"/>
                <w:color w:val="auto"/>
              </w:rPr>
            </w:pPr>
          </w:p>
        </w:tc>
        <w:tc>
          <w:tcPr>
            <w:tcW w:w="120" w:type="dxa"/>
            <w:vAlign w:val="bottom"/>
            <w:shd w:val="clear" w:color="auto" w:fill="F2F7FE"/>
          </w:tcPr>
          <w:p>
            <w:pPr>
              <w:spacing w:after="0"/>
              <w:rPr>
                <w:sz w:val="8"/>
                <w:szCs w:val="8"/>
                <w:color w:val="auto"/>
              </w:rPr>
            </w:pPr>
          </w:p>
        </w:tc>
        <w:tc>
          <w:tcPr>
            <w:tcW w:w="420" w:type="dxa"/>
            <w:vAlign w:val="bottom"/>
            <w:shd w:val="clear" w:color="auto" w:fill="F2F7FE"/>
          </w:tcPr>
          <w:p>
            <w:pPr>
              <w:jc w:val="right"/>
              <w:spacing w:after="0" w:line="97" w:lineRule="exact"/>
              <w:rPr>
                <w:sz w:val="20"/>
                <w:szCs w:val="20"/>
                <w:color w:val="auto"/>
              </w:rPr>
            </w:pPr>
            <w:r>
              <w:rPr>
                <w:rFonts w:ascii="Arial" w:cs="Arial" w:eastAsia="Arial" w:hAnsi="Arial"/>
                <w:sz w:val="10"/>
                <w:szCs w:val="10"/>
                <w:color w:val="auto"/>
              </w:rPr>
              <w:t>2/19/20</w:t>
            </w:r>
          </w:p>
        </w:tc>
        <w:tc>
          <w:tcPr>
            <w:tcW w:w="100" w:type="dxa"/>
            <w:vAlign w:val="bottom"/>
            <w:shd w:val="clear" w:color="auto" w:fill="F2F7FE"/>
          </w:tcPr>
          <w:p>
            <w:pPr>
              <w:spacing w:after="0"/>
              <w:rPr>
                <w:sz w:val="8"/>
                <w:szCs w:val="8"/>
                <w:color w:val="auto"/>
              </w:rPr>
            </w:pPr>
          </w:p>
        </w:tc>
        <w:tc>
          <w:tcPr>
            <w:tcW w:w="660" w:type="dxa"/>
            <w:vAlign w:val="bottom"/>
            <w:shd w:val="clear" w:color="auto" w:fill="F2F7FE"/>
          </w:tcPr>
          <w:p>
            <w:pPr>
              <w:spacing w:after="0"/>
              <w:rPr>
                <w:sz w:val="8"/>
                <w:szCs w:val="8"/>
                <w:color w:val="auto"/>
              </w:rPr>
            </w:pPr>
          </w:p>
        </w:tc>
        <w:tc>
          <w:tcPr>
            <w:tcW w:w="660" w:type="dxa"/>
            <w:vAlign w:val="bottom"/>
            <w:shd w:val="clear" w:color="auto" w:fill="F2F7FE"/>
          </w:tcPr>
          <w:p>
            <w:pPr>
              <w:spacing w:after="0"/>
              <w:rPr>
                <w:sz w:val="8"/>
                <w:szCs w:val="8"/>
                <w:color w:val="auto"/>
              </w:rPr>
            </w:pPr>
          </w:p>
        </w:tc>
        <w:tc>
          <w:tcPr>
            <w:tcW w:w="580" w:type="dxa"/>
            <w:vAlign w:val="bottom"/>
            <w:shd w:val="clear" w:color="auto" w:fill="F2F7FE"/>
          </w:tcPr>
          <w:p>
            <w:pPr>
              <w:spacing w:after="0"/>
              <w:rPr>
                <w:sz w:val="8"/>
                <w:szCs w:val="8"/>
                <w:color w:val="auto"/>
              </w:rPr>
            </w:pPr>
          </w:p>
        </w:tc>
        <w:tc>
          <w:tcPr>
            <w:tcW w:w="120" w:type="dxa"/>
            <w:vAlign w:val="bottom"/>
            <w:shd w:val="clear" w:color="auto" w:fill="F2F7FE"/>
          </w:tcPr>
          <w:p>
            <w:pPr>
              <w:spacing w:after="0"/>
              <w:rPr>
                <w:sz w:val="8"/>
                <w:szCs w:val="8"/>
                <w:color w:val="auto"/>
              </w:rPr>
            </w:pPr>
          </w:p>
        </w:tc>
        <w:tc>
          <w:tcPr>
            <w:tcW w:w="540" w:type="dxa"/>
            <w:vAlign w:val="bottom"/>
            <w:shd w:val="clear" w:color="auto" w:fill="F2F7FE"/>
          </w:tcPr>
          <w:p>
            <w:pPr>
              <w:spacing w:after="0"/>
              <w:rPr>
                <w:sz w:val="8"/>
                <w:szCs w:val="8"/>
                <w:color w:val="auto"/>
              </w:rPr>
            </w:pPr>
          </w:p>
        </w:tc>
        <w:tc>
          <w:tcPr>
            <w:tcW w:w="680" w:type="dxa"/>
            <w:vAlign w:val="bottom"/>
            <w:vMerge w:val="continue"/>
            <w:shd w:val="clear" w:color="auto" w:fill="F2F7FE"/>
          </w:tcPr>
          <w:p>
            <w:pPr>
              <w:spacing w:after="0"/>
              <w:rPr>
                <w:sz w:val="8"/>
                <w:szCs w:val="8"/>
                <w:color w:val="auto"/>
              </w:rPr>
            </w:pPr>
          </w:p>
        </w:tc>
        <w:tc>
          <w:tcPr>
            <w:tcW w:w="600" w:type="dxa"/>
            <w:vAlign w:val="bottom"/>
            <w:gridSpan w:val="2"/>
            <w:shd w:val="clear" w:color="auto" w:fill="F2F7FE"/>
          </w:tcPr>
          <w:p>
            <w:pPr>
              <w:jc w:val="right"/>
              <w:ind w:right="80"/>
              <w:spacing w:after="0" w:line="97" w:lineRule="exact"/>
              <w:rPr>
                <w:sz w:val="20"/>
                <w:szCs w:val="20"/>
                <w:color w:val="auto"/>
              </w:rPr>
            </w:pPr>
            <w:r>
              <w:rPr>
                <w:rFonts w:ascii="Arial" w:cs="Arial" w:eastAsia="Arial" w:hAnsi="Arial"/>
                <w:sz w:val="10"/>
                <w:szCs w:val="10"/>
                <w:color w:val="auto"/>
              </w:rPr>
              <w:t>4,366</w:t>
            </w:r>
          </w:p>
        </w:tc>
        <w:tc>
          <w:tcPr>
            <w:tcW w:w="960" w:type="dxa"/>
            <w:vAlign w:val="bottom"/>
            <w:shd w:val="clear" w:color="auto" w:fill="F2F7FE"/>
          </w:tcPr>
          <w:p>
            <w:pPr>
              <w:spacing w:after="0"/>
              <w:rPr>
                <w:sz w:val="8"/>
                <w:szCs w:val="8"/>
                <w:color w:val="auto"/>
              </w:rPr>
            </w:pPr>
          </w:p>
        </w:tc>
        <w:tc>
          <w:tcPr>
            <w:tcW w:w="780" w:type="dxa"/>
            <w:vAlign w:val="bottom"/>
            <w:shd w:val="clear" w:color="auto" w:fill="F2F7FE"/>
          </w:tcPr>
          <w:p>
            <w:pPr>
              <w:jc w:val="right"/>
              <w:spacing w:after="0" w:line="97" w:lineRule="exact"/>
              <w:rPr>
                <w:sz w:val="20"/>
                <w:szCs w:val="20"/>
                <w:color w:val="auto"/>
              </w:rPr>
            </w:pPr>
            <w:r>
              <w:rPr>
                <w:rFonts w:ascii="Arial" w:cs="Arial" w:eastAsia="Arial" w:hAnsi="Arial"/>
                <w:sz w:val="10"/>
                <w:szCs w:val="10"/>
                <w:color w:val="auto"/>
              </w:rPr>
              <w:t>171,016</w:t>
            </w:r>
          </w:p>
        </w:tc>
        <w:tc>
          <w:tcPr>
            <w:tcW w:w="0" w:type="dxa"/>
            <w:vAlign w:val="bottom"/>
          </w:tcPr>
          <w:p>
            <w:pPr>
              <w:spacing w:after="0"/>
              <w:rPr>
                <w:sz w:val="1"/>
                <w:szCs w:val="1"/>
                <w:color w:val="auto"/>
              </w:rPr>
            </w:pPr>
          </w:p>
        </w:tc>
      </w:tr>
      <w:tr>
        <w:trPr>
          <w:trHeight w:val="136"/>
        </w:trPr>
        <w:tc>
          <w:tcPr>
            <w:tcW w:w="4960" w:type="dxa"/>
            <w:vAlign w:val="bottom"/>
            <w:shd w:val="clear" w:color="auto" w:fill="F2F7FE"/>
          </w:tcPr>
          <w:p>
            <w:pPr>
              <w:spacing w:after="0"/>
              <w:rPr>
                <w:sz w:val="11"/>
                <w:szCs w:val="11"/>
                <w:color w:val="auto"/>
              </w:rPr>
            </w:pPr>
          </w:p>
        </w:tc>
        <w:tc>
          <w:tcPr>
            <w:tcW w:w="120" w:type="dxa"/>
            <w:vAlign w:val="bottom"/>
            <w:shd w:val="clear" w:color="auto" w:fill="F2F7FE"/>
          </w:tcPr>
          <w:p>
            <w:pPr>
              <w:spacing w:after="0"/>
              <w:rPr>
                <w:sz w:val="11"/>
                <w:szCs w:val="11"/>
                <w:color w:val="auto"/>
              </w:rPr>
            </w:pPr>
          </w:p>
        </w:tc>
        <w:tc>
          <w:tcPr>
            <w:tcW w:w="420" w:type="dxa"/>
            <w:vAlign w:val="bottom"/>
            <w:shd w:val="clear" w:color="auto" w:fill="F2F7FE"/>
          </w:tcPr>
          <w:p>
            <w:pPr>
              <w:jc w:val="right"/>
              <w:spacing w:after="0"/>
              <w:rPr>
                <w:sz w:val="20"/>
                <w:szCs w:val="20"/>
                <w:color w:val="auto"/>
              </w:rPr>
            </w:pPr>
            <w:r>
              <w:rPr>
                <w:rFonts w:ascii="Arial" w:cs="Arial" w:eastAsia="Arial" w:hAnsi="Arial"/>
                <w:sz w:val="10"/>
                <w:szCs w:val="10"/>
                <w:color w:val="auto"/>
              </w:rPr>
              <w:t>2/19/20</w:t>
            </w:r>
          </w:p>
        </w:tc>
        <w:tc>
          <w:tcPr>
            <w:tcW w:w="100" w:type="dxa"/>
            <w:vAlign w:val="bottom"/>
            <w:shd w:val="clear" w:color="auto" w:fill="F2F7FE"/>
          </w:tcPr>
          <w:p>
            <w:pPr>
              <w:spacing w:after="0"/>
              <w:rPr>
                <w:sz w:val="11"/>
                <w:szCs w:val="11"/>
                <w:color w:val="auto"/>
              </w:rPr>
            </w:pPr>
          </w:p>
        </w:tc>
        <w:tc>
          <w:tcPr>
            <w:tcW w:w="660" w:type="dxa"/>
            <w:vAlign w:val="bottom"/>
            <w:shd w:val="clear" w:color="auto" w:fill="F2F7FE"/>
          </w:tcPr>
          <w:p>
            <w:pPr>
              <w:spacing w:after="0"/>
              <w:rPr>
                <w:sz w:val="11"/>
                <w:szCs w:val="11"/>
                <w:color w:val="auto"/>
              </w:rPr>
            </w:pPr>
          </w:p>
        </w:tc>
        <w:tc>
          <w:tcPr>
            <w:tcW w:w="660" w:type="dxa"/>
            <w:vAlign w:val="bottom"/>
            <w:shd w:val="clear" w:color="auto" w:fill="F2F7FE"/>
          </w:tcPr>
          <w:p>
            <w:pPr>
              <w:spacing w:after="0"/>
              <w:rPr>
                <w:sz w:val="11"/>
                <w:szCs w:val="11"/>
                <w:color w:val="auto"/>
              </w:rPr>
            </w:pPr>
          </w:p>
        </w:tc>
        <w:tc>
          <w:tcPr>
            <w:tcW w:w="580" w:type="dxa"/>
            <w:vAlign w:val="bottom"/>
            <w:shd w:val="clear" w:color="auto" w:fill="F2F7FE"/>
          </w:tcPr>
          <w:p>
            <w:pPr>
              <w:spacing w:after="0"/>
              <w:rPr>
                <w:sz w:val="11"/>
                <w:szCs w:val="11"/>
                <w:color w:val="auto"/>
              </w:rPr>
            </w:pPr>
          </w:p>
        </w:tc>
        <w:tc>
          <w:tcPr>
            <w:tcW w:w="120" w:type="dxa"/>
            <w:vAlign w:val="bottom"/>
            <w:shd w:val="clear" w:color="auto" w:fill="F2F7FE"/>
          </w:tcPr>
          <w:p>
            <w:pPr>
              <w:spacing w:after="0"/>
              <w:rPr>
                <w:sz w:val="11"/>
                <w:szCs w:val="11"/>
                <w:color w:val="auto"/>
              </w:rPr>
            </w:pPr>
          </w:p>
        </w:tc>
        <w:tc>
          <w:tcPr>
            <w:tcW w:w="540" w:type="dxa"/>
            <w:vAlign w:val="bottom"/>
            <w:shd w:val="clear" w:color="auto" w:fill="F2F7FE"/>
          </w:tcPr>
          <w:p>
            <w:pPr>
              <w:spacing w:after="0"/>
              <w:rPr>
                <w:sz w:val="11"/>
                <w:szCs w:val="11"/>
                <w:color w:val="auto"/>
              </w:rPr>
            </w:pPr>
          </w:p>
        </w:tc>
        <w:tc>
          <w:tcPr>
            <w:tcW w:w="680" w:type="dxa"/>
            <w:vAlign w:val="bottom"/>
            <w:shd w:val="clear" w:color="auto" w:fill="F2F7FE"/>
          </w:tcPr>
          <w:p>
            <w:pPr>
              <w:jc w:val="right"/>
              <w:spacing w:after="0" w:line="136" w:lineRule="exact"/>
              <w:rPr>
                <w:sz w:val="20"/>
                <w:szCs w:val="20"/>
                <w:color w:val="auto"/>
              </w:rPr>
            </w:pPr>
            <w:r>
              <w:rPr>
                <w:rFonts w:ascii="Arial" w:cs="Arial" w:eastAsia="Arial" w:hAnsi="Arial"/>
                <w:sz w:val="10"/>
                <w:szCs w:val="10"/>
                <w:color w:val="auto"/>
              </w:rPr>
              <w:t>2,182</w:t>
            </w:r>
            <w:r>
              <w:rPr>
                <w:rFonts w:ascii="Arial" w:cs="Arial" w:eastAsia="Arial" w:hAnsi="Arial"/>
                <w:sz w:val="15"/>
                <w:szCs w:val="15"/>
                <w:color w:val="auto"/>
                <w:vertAlign w:val="superscript"/>
              </w:rPr>
              <w:t>(3)</w:t>
            </w:r>
          </w:p>
        </w:tc>
        <w:tc>
          <w:tcPr>
            <w:tcW w:w="600" w:type="dxa"/>
            <w:vAlign w:val="bottom"/>
            <w:gridSpan w:val="2"/>
            <w:shd w:val="clear" w:color="auto" w:fill="F2F7FE"/>
          </w:tcPr>
          <w:p>
            <w:pPr>
              <w:jc w:val="right"/>
              <w:ind w:right="80"/>
              <w:spacing w:after="0"/>
              <w:rPr>
                <w:sz w:val="20"/>
                <w:szCs w:val="20"/>
                <w:color w:val="auto"/>
              </w:rPr>
            </w:pPr>
            <w:r>
              <w:rPr>
                <w:rFonts w:ascii="Arial" w:cs="Arial" w:eastAsia="Arial" w:hAnsi="Arial"/>
                <w:sz w:val="10"/>
                <w:szCs w:val="10"/>
                <w:color w:val="auto"/>
              </w:rPr>
              <w:t>4,364</w:t>
            </w:r>
          </w:p>
        </w:tc>
        <w:tc>
          <w:tcPr>
            <w:tcW w:w="960" w:type="dxa"/>
            <w:vAlign w:val="bottom"/>
            <w:shd w:val="clear" w:color="auto" w:fill="F2F7FE"/>
          </w:tcPr>
          <w:p>
            <w:pPr>
              <w:spacing w:after="0"/>
              <w:rPr>
                <w:sz w:val="11"/>
                <w:szCs w:val="11"/>
                <w:color w:val="auto"/>
              </w:rPr>
            </w:pPr>
          </w:p>
        </w:tc>
        <w:tc>
          <w:tcPr>
            <w:tcW w:w="780" w:type="dxa"/>
            <w:vAlign w:val="bottom"/>
            <w:shd w:val="clear" w:color="auto" w:fill="F2F7FE"/>
          </w:tcPr>
          <w:p>
            <w:pPr>
              <w:jc w:val="right"/>
              <w:spacing w:after="0"/>
              <w:rPr>
                <w:sz w:val="20"/>
                <w:szCs w:val="20"/>
                <w:color w:val="auto"/>
              </w:rPr>
            </w:pPr>
            <w:r>
              <w:rPr>
                <w:rFonts w:ascii="Arial" w:cs="Arial" w:eastAsia="Arial" w:hAnsi="Arial"/>
                <w:sz w:val="10"/>
                <w:szCs w:val="10"/>
                <w:color w:val="auto"/>
              </w:rPr>
              <w:t>222,782</w:t>
            </w:r>
          </w:p>
        </w:tc>
        <w:tc>
          <w:tcPr>
            <w:tcW w:w="0" w:type="dxa"/>
            <w:vAlign w:val="bottom"/>
          </w:tcPr>
          <w:p>
            <w:pPr>
              <w:spacing w:after="0"/>
              <w:rPr>
                <w:sz w:val="1"/>
                <w:szCs w:val="1"/>
                <w:color w:val="auto"/>
              </w:rPr>
            </w:pPr>
          </w:p>
        </w:tc>
      </w:tr>
      <w:tr>
        <w:trPr>
          <w:trHeight w:val="254"/>
        </w:trPr>
        <w:tc>
          <w:tcPr>
            <w:tcW w:w="4960" w:type="dxa"/>
            <w:vAlign w:val="bottom"/>
          </w:tcPr>
          <w:p>
            <w:pPr>
              <w:spacing w:after="0"/>
              <w:rPr>
                <w:sz w:val="20"/>
                <w:szCs w:val="20"/>
                <w:color w:val="auto"/>
              </w:rPr>
            </w:pPr>
            <w:r>
              <w:rPr>
                <w:rFonts w:ascii="Arial" w:cs="Arial" w:eastAsia="Arial" w:hAnsi="Arial"/>
                <w:sz w:val="10"/>
                <w:szCs w:val="10"/>
                <w:b w:val="1"/>
                <w:bCs w:val="1"/>
                <w:color w:val="auto"/>
              </w:rPr>
              <w:t>Pavan Bagai</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0"/>
                <w:szCs w:val="10"/>
                <w:color w:val="auto"/>
              </w:rPr>
              <w:t>266,886</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552,186</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0"/>
                <w:szCs w:val="10"/>
                <w:color w:val="auto"/>
              </w:rPr>
              <w:t>10,045</w:t>
            </w:r>
            <w:r>
              <w:rPr>
                <w:rFonts w:ascii="Arial" w:cs="Arial" w:eastAsia="Arial" w:hAnsi="Arial"/>
                <w:sz w:val="15"/>
                <w:szCs w:val="15"/>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0"/>
                <w:szCs w:val="10"/>
                <w:color w:val="auto"/>
              </w:rPr>
              <w:t>786,925</w:t>
            </w: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Arial" w:cs="Arial" w:eastAsia="Arial" w:hAnsi="Arial"/>
                <w:sz w:val="10"/>
                <w:szCs w:val="10"/>
                <w:color w:val="auto"/>
              </w:rPr>
              <w:t>5,023</w:t>
            </w:r>
            <w:r>
              <w:rPr>
                <w:rFonts w:ascii="Arial" w:cs="Arial" w:eastAsia="Arial" w:hAnsi="Arial"/>
                <w:sz w:val="15"/>
                <w:szCs w:val="15"/>
                <w:color w:val="auto"/>
                <w:vertAlign w:val="superscript"/>
              </w:rPr>
              <w:t>(2)</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10,046</w:t>
            </w:r>
          </w:p>
        </w:tc>
        <w:tc>
          <w:tcPr>
            <w:tcW w:w="9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393,502</w:t>
            </w:r>
          </w:p>
        </w:tc>
        <w:tc>
          <w:tcPr>
            <w:tcW w:w="0" w:type="dxa"/>
            <w:vAlign w:val="bottom"/>
          </w:tcPr>
          <w:p>
            <w:pPr>
              <w:spacing w:after="0"/>
              <w:rPr>
                <w:sz w:val="1"/>
                <w:szCs w:val="1"/>
                <w:color w:val="auto"/>
              </w:rPr>
            </w:pPr>
          </w:p>
        </w:tc>
      </w:tr>
      <w:tr>
        <w:trPr>
          <w:trHeight w:val="139"/>
        </w:trPr>
        <w:tc>
          <w:tcPr>
            <w:tcW w:w="496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0"/>
                <w:szCs w:val="10"/>
                <w:color w:val="auto"/>
              </w:rPr>
              <w:t>5,022</w:t>
            </w:r>
            <w:r>
              <w:rPr>
                <w:rFonts w:ascii="Arial" w:cs="Arial" w:eastAsia="Arial" w:hAnsi="Arial"/>
                <w:sz w:val="15"/>
                <w:szCs w:val="15"/>
                <w:color w:val="auto"/>
                <w:vertAlign w:val="superscript"/>
              </w:rPr>
              <w:t>(3)</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10,044</w:t>
            </w:r>
          </w:p>
        </w:tc>
        <w:tc>
          <w:tcPr>
            <w:tcW w:w="9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512,746</w:t>
            </w:r>
          </w:p>
        </w:tc>
        <w:tc>
          <w:tcPr>
            <w:tcW w:w="0" w:type="dxa"/>
            <w:vAlign w:val="bottom"/>
          </w:tcPr>
          <w:p>
            <w:pPr>
              <w:spacing w:after="0"/>
              <w:rPr>
                <w:sz w:val="1"/>
                <w:szCs w:val="1"/>
                <w:color w:val="auto"/>
              </w:rPr>
            </w:pPr>
          </w:p>
        </w:tc>
      </w:tr>
      <w:tr>
        <w:trPr>
          <w:trHeight w:val="243"/>
        </w:trPr>
        <w:tc>
          <w:tcPr>
            <w:tcW w:w="4960" w:type="dxa"/>
            <w:vAlign w:val="bottom"/>
            <w:shd w:val="clear" w:color="auto" w:fill="F2F7FE"/>
          </w:tcPr>
          <w:p>
            <w:pPr>
              <w:spacing w:after="0"/>
              <w:rPr>
                <w:sz w:val="20"/>
                <w:szCs w:val="20"/>
                <w:color w:val="auto"/>
              </w:rPr>
            </w:pPr>
            <w:r>
              <w:rPr>
                <w:rFonts w:ascii="Arial" w:cs="Arial" w:eastAsia="Arial" w:hAnsi="Arial"/>
                <w:sz w:val="10"/>
                <w:szCs w:val="10"/>
                <w:b w:val="1"/>
                <w:bCs w:val="1"/>
                <w:color w:val="auto"/>
              </w:rPr>
              <w:t>Nalin Miglani</w:t>
            </w:r>
          </w:p>
        </w:tc>
        <w:tc>
          <w:tcPr>
            <w:tcW w:w="120" w:type="dxa"/>
            <w:vAlign w:val="bottom"/>
            <w:shd w:val="clear" w:color="auto" w:fill="F2F7FE"/>
          </w:tcPr>
          <w:p>
            <w:pPr>
              <w:spacing w:after="0"/>
              <w:rPr>
                <w:sz w:val="21"/>
                <w:szCs w:val="21"/>
                <w:color w:val="auto"/>
              </w:rPr>
            </w:pPr>
          </w:p>
        </w:tc>
        <w:tc>
          <w:tcPr>
            <w:tcW w:w="420" w:type="dxa"/>
            <w:vAlign w:val="bottom"/>
            <w:shd w:val="clear" w:color="auto" w:fill="F2F7FE"/>
          </w:tcPr>
          <w:p>
            <w:pPr>
              <w:spacing w:after="0"/>
              <w:rPr>
                <w:sz w:val="21"/>
                <w:szCs w:val="21"/>
                <w:color w:val="auto"/>
              </w:rPr>
            </w:pPr>
          </w:p>
        </w:tc>
        <w:tc>
          <w:tcPr>
            <w:tcW w:w="100" w:type="dxa"/>
            <w:vAlign w:val="bottom"/>
            <w:shd w:val="clear" w:color="auto" w:fill="F2F7FE"/>
          </w:tcPr>
          <w:p>
            <w:pPr>
              <w:spacing w:after="0"/>
              <w:rPr>
                <w:sz w:val="21"/>
                <w:szCs w:val="21"/>
                <w:color w:val="auto"/>
              </w:rPr>
            </w:pPr>
          </w:p>
        </w:tc>
        <w:tc>
          <w:tcPr>
            <w:tcW w:w="660" w:type="dxa"/>
            <w:vAlign w:val="bottom"/>
            <w:shd w:val="clear" w:color="auto" w:fill="F2F7FE"/>
          </w:tcPr>
          <w:p>
            <w:pPr>
              <w:spacing w:after="0"/>
              <w:rPr>
                <w:sz w:val="21"/>
                <w:szCs w:val="21"/>
                <w:color w:val="auto"/>
              </w:rPr>
            </w:pPr>
          </w:p>
        </w:tc>
        <w:tc>
          <w:tcPr>
            <w:tcW w:w="660" w:type="dxa"/>
            <w:vAlign w:val="bottom"/>
            <w:shd w:val="clear" w:color="auto" w:fill="F2F7FE"/>
          </w:tcPr>
          <w:p>
            <w:pPr>
              <w:jc w:val="right"/>
              <w:ind w:right="28"/>
              <w:spacing w:after="0"/>
              <w:rPr>
                <w:sz w:val="20"/>
                <w:szCs w:val="20"/>
                <w:color w:val="auto"/>
              </w:rPr>
            </w:pPr>
            <w:r>
              <w:rPr>
                <w:rFonts w:ascii="Arial" w:cs="Arial" w:eastAsia="Arial" w:hAnsi="Arial"/>
                <w:sz w:val="10"/>
                <w:szCs w:val="10"/>
                <w:color w:val="auto"/>
              </w:rPr>
              <w:t>337,500</w:t>
            </w:r>
          </w:p>
        </w:tc>
        <w:tc>
          <w:tcPr>
            <w:tcW w:w="700" w:type="dxa"/>
            <w:vAlign w:val="bottom"/>
            <w:gridSpan w:val="2"/>
            <w:shd w:val="clear" w:color="auto" w:fill="F2F7FE"/>
          </w:tcPr>
          <w:p>
            <w:pPr>
              <w:jc w:val="right"/>
              <w:ind w:right="120"/>
              <w:spacing w:after="0"/>
              <w:rPr>
                <w:sz w:val="20"/>
                <w:szCs w:val="20"/>
                <w:color w:val="auto"/>
              </w:rPr>
            </w:pPr>
            <w:r>
              <w:rPr>
                <w:rFonts w:ascii="Arial" w:cs="Arial" w:eastAsia="Arial" w:hAnsi="Arial"/>
                <w:sz w:val="10"/>
                <w:szCs w:val="10"/>
                <w:color w:val="auto"/>
              </w:rPr>
              <w:t>696,600</w:t>
            </w:r>
          </w:p>
        </w:tc>
        <w:tc>
          <w:tcPr>
            <w:tcW w:w="540" w:type="dxa"/>
            <w:vAlign w:val="bottom"/>
            <w:shd w:val="clear" w:color="auto" w:fill="F2F7FE"/>
          </w:tcPr>
          <w:p>
            <w:pPr>
              <w:spacing w:after="0"/>
              <w:rPr>
                <w:sz w:val="21"/>
                <w:szCs w:val="21"/>
                <w:color w:val="auto"/>
              </w:rPr>
            </w:pPr>
          </w:p>
        </w:tc>
        <w:tc>
          <w:tcPr>
            <w:tcW w:w="680" w:type="dxa"/>
            <w:vAlign w:val="bottom"/>
            <w:shd w:val="clear" w:color="auto" w:fill="F2F7FE"/>
          </w:tcPr>
          <w:p>
            <w:pPr>
              <w:spacing w:after="0"/>
              <w:rPr>
                <w:sz w:val="21"/>
                <w:szCs w:val="21"/>
                <w:color w:val="auto"/>
              </w:rPr>
            </w:pPr>
          </w:p>
        </w:tc>
        <w:tc>
          <w:tcPr>
            <w:tcW w:w="520" w:type="dxa"/>
            <w:vAlign w:val="bottom"/>
            <w:shd w:val="clear" w:color="auto" w:fill="F2F7FE"/>
          </w:tcPr>
          <w:p>
            <w:pPr>
              <w:spacing w:after="0"/>
              <w:rPr>
                <w:sz w:val="21"/>
                <w:szCs w:val="21"/>
                <w:color w:val="auto"/>
              </w:rPr>
            </w:pPr>
          </w:p>
        </w:tc>
        <w:tc>
          <w:tcPr>
            <w:tcW w:w="80" w:type="dxa"/>
            <w:vAlign w:val="bottom"/>
            <w:shd w:val="clear" w:color="auto" w:fill="F2F7FE"/>
          </w:tcPr>
          <w:p>
            <w:pPr>
              <w:spacing w:after="0"/>
              <w:rPr>
                <w:sz w:val="21"/>
                <w:szCs w:val="21"/>
                <w:color w:val="auto"/>
              </w:rPr>
            </w:pPr>
          </w:p>
        </w:tc>
        <w:tc>
          <w:tcPr>
            <w:tcW w:w="960" w:type="dxa"/>
            <w:vAlign w:val="bottom"/>
            <w:vMerge w:val="restart"/>
            <w:shd w:val="clear" w:color="auto" w:fill="F2F7FE"/>
          </w:tcPr>
          <w:p>
            <w:pPr>
              <w:jc w:val="right"/>
              <w:spacing w:after="0"/>
              <w:rPr>
                <w:sz w:val="20"/>
                <w:szCs w:val="20"/>
                <w:color w:val="auto"/>
              </w:rPr>
            </w:pPr>
            <w:r>
              <w:rPr>
                <w:rFonts w:ascii="Arial" w:cs="Arial" w:eastAsia="Arial" w:hAnsi="Arial"/>
                <w:sz w:val="10"/>
                <w:szCs w:val="10"/>
                <w:color w:val="auto"/>
              </w:rPr>
              <w:t>6,995</w:t>
            </w:r>
            <w:r>
              <w:rPr>
                <w:rFonts w:ascii="Arial" w:cs="Arial" w:eastAsia="Arial" w:hAnsi="Arial"/>
                <w:sz w:val="15"/>
                <w:szCs w:val="15"/>
                <w:color w:val="auto"/>
                <w:vertAlign w:val="superscript"/>
              </w:rPr>
              <w:t>(4)</w:t>
            </w:r>
          </w:p>
        </w:tc>
        <w:tc>
          <w:tcPr>
            <w:tcW w:w="780" w:type="dxa"/>
            <w:vAlign w:val="bottom"/>
            <w:vMerge w:val="restart"/>
            <w:shd w:val="clear" w:color="auto" w:fill="F2F7FE"/>
          </w:tcPr>
          <w:p>
            <w:pPr>
              <w:jc w:val="right"/>
              <w:spacing w:after="0"/>
              <w:rPr>
                <w:sz w:val="20"/>
                <w:szCs w:val="20"/>
                <w:color w:val="auto"/>
              </w:rPr>
            </w:pPr>
            <w:r>
              <w:rPr>
                <w:rFonts w:ascii="Arial" w:cs="Arial" w:eastAsia="Arial" w:hAnsi="Arial"/>
                <w:sz w:val="10"/>
                <w:szCs w:val="10"/>
                <w:color w:val="auto"/>
              </w:rPr>
              <w:t>547,988</w:t>
            </w:r>
          </w:p>
        </w:tc>
        <w:tc>
          <w:tcPr>
            <w:tcW w:w="0" w:type="dxa"/>
            <w:vAlign w:val="bottom"/>
          </w:tcPr>
          <w:p>
            <w:pPr>
              <w:spacing w:after="0"/>
              <w:rPr>
                <w:sz w:val="1"/>
                <w:szCs w:val="1"/>
                <w:color w:val="auto"/>
              </w:rPr>
            </w:pPr>
          </w:p>
        </w:tc>
      </w:tr>
      <w:tr>
        <w:trPr>
          <w:trHeight w:val="117"/>
        </w:trPr>
        <w:tc>
          <w:tcPr>
            <w:tcW w:w="4960" w:type="dxa"/>
            <w:vAlign w:val="bottom"/>
            <w:shd w:val="clear" w:color="auto" w:fill="F2F7FE"/>
          </w:tcPr>
          <w:p>
            <w:pPr>
              <w:spacing w:after="0"/>
              <w:rPr>
                <w:sz w:val="10"/>
                <w:szCs w:val="10"/>
                <w:color w:val="auto"/>
              </w:rPr>
            </w:pPr>
          </w:p>
        </w:tc>
        <w:tc>
          <w:tcPr>
            <w:tcW w:w="120" w:type="dxa"/>
            <w:vAlign w:val="bottom"/>
            <w:shd w:val="clear" w:color="auto" w:fill="F2F7FE"/>
          </w:tcPr>
          <w:p>
            <w:pPr>
              <w:spacing w:after="0"/>
              <w:rPr>
                <w:sz w:val="10"/>
                <w:szCs w:val="10"/>
                <w:color w:val="auto"/>
              </w:rPr>
            </w:pPr>
          </w:p>
        </w:tc>
        <w:tc>
          <w:tcPr>
            <w:tcW w:w="520" w:type="dxa"/>
            <w:vAlign w:val="bottom"/>
            <w:gridSpan w:val="2"/>
            <w:shd w:val="clear" w:color="auto" w:fill="F2F7FE"/>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shd w:val="clear" w:color="auto" w:fill="F2F7FE"/>
          </w:tcPr>
          <w:p>
            <w:pPr>
              <w:spacing w:after="0"/>
              <w:rPr>
                <w:sz w:val="10"/>
                <w:szCs w:val="10"/>
                <w:color w:val="auto"/>
              </w:rPr>
            </w:pPr>
          </w:p>
        </w:tc>
        <w:tc>
          <w:tcPr>
            <w:tcW w:w="660" w:type="dxa"/>
            <w:vAlign w:val="bottom"/>
            <w:shd w:val="clear" w:color="auto" w:fill="F2F7FE"/>
          </w:tcPr>
          <w:p>
            <w:pPr>
              <w:spacing w:after="0"/>
              <w:rPr>
                <w:sz w:val="10"/>
                <w:szCs w:val="10"/>
                <w:color w:val="auto"/>
              </w:rPr>
            </w:pPr>
          </w:p>
        </w:tc>
        <w:tc>
          <w:tcPr>
            <w:tcW w:w="580" w:type="dxa"/>
            <w:vAlign w:val="bottom"/>
            <w:shd w:val="clear" w:color="auto" w:fill="F2F7FE"/>
          </w:tcPr>
          <w:p>
            <w:pPr>
              <w:spacing w:after="0"/>
              <w:rPr>
                <w:sz w:val="10"/>
                <w:szCs w:val="10"/>
                <w:color w:val="auto"/>
              </w:rPr>
            </w:pPr>
          </w:p>
        </w:tc>
        <w:tc>
          <w:tcPr>
            <w:tcW w:w="120" w:type="dxa"/>
            <w:vAlign w:val="bottom"/>
            <w:shd w:val="clear" w:color="auto" w:fill="F2F7FE"/>
          </w:tcPr>
          <w:p>
            <w:pPr>
              <w:spacing w:after="0"/>
              <w:rPr>
                <w:sz w:val="10"/>
                <w:szCs w:val="10"/>
                <w:color w:val="auto"/>
              </w:rPr>
            </w:pPr>
          </w:p>
        </w:tc>
        <w:tc>
          <w:tcPr>
            <w:tcW w:w="540" w:type="dxa"/>
            <w:vAlign w:val="bottom"/>
            <w:shd w:val="clear" w:color="auto" w:fill="F2F7FE"/>
          </w:tcPr>
          <w:p>
            <w:pPr>
              <w:spacing w:after="0"/>
              <w:rPr>
                <w:sz w:val="10"/>
                <w:szCs w:val="10"/>
                <w:color w:val="auto"/>
              </w:rPr>
            </w:pPr>
          </w:p>
        </w:tc>
        <w:tc>
          <w:tcPr>
            <w:tcW w:w="680" w:type="dxa"/>
            <w:vAlign w:val="bottom"/>
            <w:vMerge w:val="restart"/>
            <w:shd w:val="clear" w:color="auto" w:fill="F2F7FE"/>
          </w:tcPr>
          <w:p>
            <w:pPr>
              <w:jc w:val="right"/>
              <w:spacing w:after="0"/>
              <w:rPr>
                <w:sz w:val="20"/>
                <w:szCs w:val="20"/>
                <w:color w:val="auto"/>
              </w:rPr>
            </w:pPr>
            <w:r>
              <w:rPr>
                <w:rFonts w:ascii="Arial" w:cs="Arial" w:eastAsia="Arial" w:hAnsi="Arial"/>
                <w:sz w:val="10"/>
                <w:szCs w:val="10"/>
                <w:color w:val="auto"/>
              </w:rPr>
              <w:t>3,498</w:t>
            </w:r>
            <w:r>
              <w:rPr>
                <w:rFonts w:ascii="Arial" w:cs="Arial" w:eastAsia="Arial" w:hAnsi="Arial"/>
                <w:sz w:val="15"/>
                <w:szCs w:val="15"/>
                <w:color w:val="auto"/>
                <w:vertAlign w:val="superscript"/>
              </w:rPr>
              <w:t>(2)</w:t>
            </w:r>
          </w:p>
        </w:tc>
        <w:tc>
          <w:tcPr>
            <w:tcW w:w="520" w:type="dxa"/>
            <w:vAlign w:val="bottom"/>
            <w:shd w:val="clear" w:color="auto" w:fill="F2F7FE"/>
          </w:tcPr>
          <w:p>
            <w:pPr>
              <w:spacing w:after="0"/>
              <w:rPr>
                <w:sz w:val="10"/>
                <w:szCs w:val="10"/>
                <w:color w:val="auto"/>
              </w:rPr>
            </w:pPr>
          </w:p>
        </w:tc>
        <w:tc>
          <w:tcPr>
            <w:tcW w:w="80" w:type="dxa"/>
            <w:vAlign w:val="bottom"/>
            <w:shd w:val="clear" w:color="auto" w:fill="F2F7FE"/>
          </w:tcPr>
          <w:p>
            <w:pPr>
              <w:spacing w:after="0"/>
              <w:rPr>
                <w:sz w:val="10"/>
                <w:szCs w:val="10"/>
                <w:color w:val="auto"/>
              </w:rPr>
            </w:pPr>
          </w:p>
        </w:tc>
        <w:tc>
          <w:tcPr>
            <w:tcW w:w="960" w:type="dxa"/>
            <w:vAlign w:val="bottom"/>
            <w:vMerge w:val="continue"/>
            <w:shd w:val="clear" w:color="auto" w:fill="F2F7FE"/>
          </w:tcPr>
          <w:p>
            <w:pPr>
              <w:spacing w:after="0"/>
              <w:rPr>
                <w:sz w:val="10"/>
                <w:szCs w:val="10"/>
                <w:color w:val="auto"/>
              </w:rPr>
            </w:pPr>
          </w:p>
        </w:tc>
        <w:tc>
          <w:tcPr>
            <w:tcW w:w="780" w:type="dxa"/>
            <w:vAlign w:val="bottom"/>
            <w:vMerge w:val="continue"/>
            <w:shd w:val="clear" w:color="auto" w:fill="F2F7F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960" w:type="dxa"/>
            <w:vAlign w:val="bottom"/>
            <w:shd w:val="clear" w:color="auto" w:fill="F2F7FE"/>
          </w:tcPr>
          <w:p>
            <w:pPr>
              <w:spacing w:after="0"/>
              <w:rPr>
                <w:sz w:val="8"/>
                <w:szCs w:val="8"/>
                <w:color w:val="auto"/>
              </w:rPr>
            </w:pPr>
          </w:p>
        </w:tc>
        <w:tc>
          <w:tcPr>
            <w:tcW w:w="120" w:type="dxa"/>
            <w:vAlign w:val="bottom"/>
            <w:shd w:val="clear" w:color="auto" w:fill="F2F7FE"/>
          </w:tcPr>
          <w:p>
            <w:pPr>
              <w:spacing w:after="0"/>
              <w:rPr>
                <w:sz w:val="8"/>
                <w:szCs w:val="8"/>
                <w:color w:val="auto"/>
              </w:rPr>
            </w:pPr>
          </w:p>
        </w:tc>
        <w:tc>
          <w:tcPr>
            <w:tcW w:w="520" w:type="dxa"/>
            <w:vAlign w:val="bottom"/>
            <w:gridSpan w:val="2"/>
            <w:shd w:val="clear" w:color="auto" w:fill="F2F7FE"/>
          </w:tcPr>
          <w:p>
            <w:pPr>
              <w:jc w:val="right"/>
              <w:ind w:right="100"/>
              <w:spacing w:after="0" w:line="97" w:lineRule="exact"/>
              <w:rPr>
                <w:sz w:val="20"/>
                <w:szCs w:val="20"/>
                <w:color w:val="auto"/>
              </w:rPr>
            </w:pPr>
            <w:r>
              <w:rPr>
                <w:rFonts w:ascii="Arial" w:cs="Arial" w:eastAsia="Arial" w:hAnsi="Arial"/>
                <w:sz w:val="10"/>
                <w:szCs w:val="10"/>
                <w:color w:val="auto"/>
              </w:rPr>
              <w:t>2/19/20</w:t>
            </w:r>
          </w:p>
        </w:tc>
        <w:tc>
          <w:tcPr>
            <w:tcW w:w="660" w:type="dxa"/>
            <w:vAlign w:val="bottom"/>
            <w:shd w:val="clear" w:color="auto" w:fill="F2F7FE"/>
          </w:tcPr>
          <w:p>
            <w:pPr>
              <w:spacing w:after="0"/>
              <w:rPr>
                <w:sz w:val="8"/>
                <w:szCs w:val="8"/>
                <w:color w:val="auto"/>
              </w:rPr>
            </w:pPr>
          </w:p>
        </w:tc>
        <w:tc>
          <w:tcPr>
            <w:tcW w:w="660" w:type="dxa"/>
            <w:vAlign w:val="bottom"/>
            <w:shd w:val="clear" w:color="auto" w:fill="F2F7FE"/>
          </w:tcPr>
          <w:p>
            <w:pPr>
              <w:spacing w:after="0"/>
              <w:rPr>
                <w:sz w:val="8"/>
                <w:szCs w:val="8"/>
                <w:color w:val="auto"/>
              </w:rPr>
            </w:pPr>
          </w:p>
        </w:tc>
        <w:tc>
          <w:tcPr>
            <w:tcW w:w="580" w:type="dxa"/>
            <w:vAlign w:val="bottom"/>
            <w:shd w:val="clear" w:color="auto" w:fill="F2F7FE"/>
          </w:tcPr>
          <w:p>
            <w:pPr>
              <w:spacing w:after="0"/>
              <w:rPr>
                <w:sz w:val="8"/>
                <w:szCs w:val="8"/>
                <w:color w:val="auto"/>
              </w:rPr>
            </w:pPr>
          </w:p>
        </w:tc>
        <w:tc>
          <w:tcPr>
            <w:tcW w:w="120" w:type="dxa"/>
            <w:vAlign w:val="bottom"/>
            <w:shd w:val="clear" w:color="auto" w:fill="F2F7FE"/>
          </w:tcPr>
          <w:p>
            <w:pPr>
              <w:spacing w:after="0"/>
              <w:rPr>
                <w:sz w:val="8"/>
                <w:szCs w:val="8"/>
                <w:color w:val="auto"/>
              </w:rPr>
            </w:pPr>
          </w:p>
        </w:tc>
        <w:tc>
          <w:tcPr>
            <w:tcW w:w="540" w:type="dxa"/>
            <w:vAlign w:val="bottom"/>
            <w:shd w:val="clear" w:color="auto" w:fill="F2F7FE"/>
          </w:tcPr>
          <w:p>
            <w:pPr>
              <w:spacing w:after="0"/>
              <w:rPr>
                <w:sz w:val="8"/>
                <w:szCs w:val="8"/>
                <w:color w:val="auto"/>
              </w:rPr>
            </w:pPr>
          </w:p>
        </w:tc>
        <w:tc>
          <w:tcPr>
            <w:tcW w:w="680" w:type="dxa"/>
            <w:vAlign w:val="bottom"/>
            <w:vMerge w:val="continue"/>
            <w:shd w:val="clear" w:color="auto" w:fill="F2F7FE"/>
          </w:tcPr>
          <w:p>
            <w:pPr>
              <w:spacing w:after="0"/>
              <w:rPr>
                <w:sz w:val="8"/>
                <w:szCs w:val="8"/>
                <w:color w:val="auto"/>
              </w:rPr>
            </w:pPr>
          </w:p>
        </w:tc>
        <w:tc>
          <w:tcPr>
            <w:tcW w:w="600" w:type="dxa"/>
            <w:vAlign w:val="bottom"/>
            <w:gridSpan w:val="2"/>
            <w:shd w:val="clear" w:color="auto" w:fill="F2F7FE"/>
          </w:tcPr>
          <w:p>
            <w:pPr>
              <w:jc w:val="right"/>
              <w:ind w:right="80"/>
              <w:spacing w:after="0" w:line="97" w:lineRule="exact"/>
              <w:rPr>
                <w:sz w:val="20"/>
                <w:szCs w:val="20"/>
                <w:color w:val="auto"/>
              </w:rPr>
            </w:pPr>
            <w:r>
              <w:rPr>
                <w:rFonts w:ascii="Arial" w:cs="Arial" w:eastAsia="Arial" w:hAnsi="Arial"/>
                <w:sz w:val="10"/>
                <w:szCs w:val="10"/>
                <w:color w:val="auto"/>
              </w:rPr>
              <w:t>6,996</w:t>
            </w:r>
          </w:p>
        </w:tc>
        <w:tc>
          <w:tcPr>
            <w:tcW w:w="960" w:type="dxa"/>
            <w:vAlign w:val="bottom"/>
            <w:shd w:val="clear" w:color="auto" w:fill="F2F7FE"/>
          </w:tcPr>
          <w:p>
            <w:pPr>
              <w:spacing w:after="0"/>
              <w:rPr>
                <w:sz w:val="8"/>
                <w:szCs w:val="8"/>
                <w:color w:val="auto"/>
              </w:rPr>
            </w:pPr>
          </w:p>
        </w:tc>
        <w:tc>
          <w:tcPr>
            <w:tcW w:w="780" w:type="dxa"/>
            <w:vAlign w:val="bottom"/>
            <w:shd w:val="clear" w:color="auto" w:fill="F2F7FE"/>
          </w:tcPr>
          <w:p>
            <w:pPr>
              <w:jc w:val="right"/>
              <w:spacing w:after="0" w:line="97" w:lineRule="exact"/>
              <w:rPr>
                <w:sz w:val="20"/>
                <w:szCs w:val="20"/>
                <w:color w:val="auto"/>
              </w:rPr>
            </w:pPr>
            <w:r>
              <w:rPr>
                <w:rFonts w:ascii="Arial" w:cs="Arial" w:eastAsia="Arial" w:hAnsi="Arial"/>
                <w:sz w:val="10"/>
                <w:szCs w:val="10"/>
                <w:color w:val="auto"/>
              </w:rPr>
              <w:t>274,033</w:t>
            </w:r>
          </w:p>
        </w:tc>
        <w:tc>
          <w:tcPr>
            <w:tcW w:w="0" w:type="dxa"/>
            <w:vAlign w:val="bottom"/>
          </w:tcPr>
          <w:p>
            <w:pPr>
              <w:spacing w:after="0"/>
              <w:rPr>
                <w:sz w:val="1"/>
                <w:szCs w:val="1"/>
                <w:color w:val="auto"/>
              </w:rPr>
            </w:pPr>
          </w:p>
        </w:tc>
      </w:tr>
      <w:tr>
        <w:trPr>
          <w:trHeight w:val="136"/>
        </w:trPr>
        <w:tc>
          <w:tcPr>
            <w:tcW w:w="4960" w:type="dxa"/>
            <w:vAlign w:val="bottom"/>
            <w:shd w:val="clear" w:color="auto" w:fill="F2F7FE"/>
          </w:tcPr>
          <w:p>
            <w:pPr>
              <w:spacing w:after="0"/>
              <w:rPr>
                <w:sz w:val="11"/>
                <w:szCs w:val="11"/>
                <w:color w:val="auto"/>
              </w:rPr>
            </w:pPr>
          </w:p>
        </w:tc>
        <w:tc>
          <w:tcPr>
            <w:tcW w:w="120" w:type="dxa"/>
            <w:vAlign w:val="bottom"/>
            <w:shd w:val="clear" w:color="auto" w:fill="F2F7FE"/>
          </w:tcPr>
          <w:p>
            <w:pPr>
              <w:spacing w:after="0"/>
              <w:rPr>
                <w:sz w:val="11"/>
                <w:szCs w:val="11"/>
                <w:color w:val="auto"/>
              </w:rPr>
            </w:pPr>
          </w:p>
        </w:tc>
        <w:tc>
          <w:tcPr>
            <w:tcW w:w="520" w:type="dxa"/>
            <w:vAlign w:val="bottom"/>
            <w:gridSpan w:val="2"/>
            <w:shd w:val="clear" w:color="auto" w:fill="F2F7FE"/>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shd w:val="clear" w:color="auto" w:fill="F2F7FE"/>
          </w:tcPr>
          <w:p>
            <w:pPr>
              <w:spacing w:after="0"/>
              <w:rPr>
                <w:sz w:val="11"/>
                <w:szCs w:val="11"/>
                <w:color w:val="auto"/>
              </w:rPr>
            </w:pPr>
          </w:p>
        </w:tc>
        <w:tc>
          <w:tcPr>
            <w:tcW w:w="660" w:type="dxa"/>
            <w:vAlign w:val="bottom"/>
            <w:shd w:val="clear" w:color="auto" w:fill="F2F7FE"/>
          </w:tcPr>
          <w:p>
            <w:pPr>
              <w:spacing w:after="0"/>
              <w:rPr>
                <w:sz w:val="11"/>
                <w:szCs w:val="11"/>
                <w:color w:val="auto"/>
              </w:rPr>
            </w:pPr>
          </w:p>
        </w:tc>
        <w:tc>
          <w:tcPr>
            <w:tcW w:w="580" w:type="dxa"/>
            <w:vAlign w:val="bottom"/>
            <w:shd w:val="clear" w:color="auto" w:fill="F2F7FE"/>
          </w:tcPr>
          <w:p>
            <w:pPr>
              <w:spacing w:after="0"/>
              <w:rPr>
                <w:sz w:val="11"/>
                <w:szCs w:val="11"/>
                <w:color w:val="auto"/>
              </w:rPr>
            </w:pPr>
          </w:p>
        </w:tc>
        <w:tc>
          <w:tcPr>
            <w:tcW w:w="120" w:type="dxa"/>
            <w:vAlign w:val="bottom"/>
            <w:shd w:val="clear" w:color="auto" w:fill="F2F7FE"/>
          </w:tcPr>
          <w:p>
            <w:pPr>
              <w:spacing w:after="0"/>
              <w:rPr>
                <w:sz w:val="11"/>
                <w:szCs w:val="11"/>
                <w:color w:val="auto"/>
              </w:rPr>
            </w:pPr>
          </w:p>
        </w:tc>
        <w:tc>
          <w:tcPr>
            <w:tcW w:w="540" w:type="dxa"/>
            <w:vAlign w:val="bottom"/>
            <w:shd w:val="clear" w:color="auto" w:fill="F2F7FE"/>
          </w:tcPr>
          <w:p>
            <w:pPr>
              <w:spacing w:after="0"/>
              <w:rPr>
                <w:sz w:val="11"/>
                <w:szCs w:val="11"/>
                <w:color w:val="auto"/>
              </w:rPr>
            </w:pPr>
          </w:p>
        </w:tc>
        <w:tc>
          <w:tcPr>
            <w:tcW w:w="680" w:type="dxa"/>
            <w:vAlign w:val="bottom"/>
            <w:shd w:val="clear" w:color="auto" w:fill="F2F7FE"/>
          </w:tcPr>
          <w:p>
            <w:pPr>
              <w:jc w:val="right"/>
              <w:spacing w:after="0" w:line="136" w:lineRule="exact"/>
              <w:rPr>
                <w:sz w:val="20"/>
                <w:szCs w:val="20"/>
                <w:color w:val="auto"/>
              </w:rPr>
            </w:pPr>
            <w:r>
              <w:rPr>
                <w:rFonts w:ascii="Arial" w:cs="Arial" w:eastAsia="Arial" w:hAnsi="Arial"/>
                <w:sz w:val="10"/>
                <w:szCs w:val="10"/>
                <w:color w:val="auto"/>
              </w:rPr>
              <w:t>3,497</w:t>
            </w:r>
            <w:r>
              <w:rPr>
                <w:rFonts w:ascii="Arial" w:cs="Arial" w:eastAsia="Arial" w:hAnsi="Arial"/>
                <w:sz w:val="15"/>
                <w:szCs w:val="15"/>
                <w:color w:val="auto"/>
                <w:vertAlign w:val="superscript"/>
              </w:rPr>
              <w:t>(3)</w:t>
            </w:r>
          </w:p>
        </w:tc>
        <w:tc>
          <w:tcPr>
            <w:tcW w:w="600" w:type="dxa"/>
            <w:vAlign w:val="bottom"/>
            <w:gridSpan w:val="2"/>
            <w:shd w:val="clear" w:color="auto" w:fill="F2F7FE"/>
          </w:tcPr>
          <w:p>
            <w:pPr>
              <w:jc w:val="right"/>
              <w:ind w:right="80"/>
              <w:spacing w:after="0"/>
              <w:rPr>
                <w:sz w:val="20"/>
                <w:szCs w:val="20"/>
                <w:color w:val="auto"/>
              </w:rPr>
            </w:pPr>
            <w:r>
              <w:rPr>
                <w:rFonts w:ascii="Arial" w:cs="Arial" w:eastAsia="Arial" w:hAnsi="Arial"/>
                <w:sz w:val="10"/>
                <w:szCs w:val="10"/>
                <w:color w:val="auto"/>
              </w:rPr>
              <w:t>6,994</w:t>
            </w:r>
          </w:p>
        </w:tc>
        <w:tc>
          <w:tcPr>
            <w:tcW w:w="960" w:type="dxa"/>
            <w:vAlign w:val="bottom"/>
            <w:shd w:val="clear" w:color="auto" w:fill="F2F7FE"/>
          </w:tcPr>
          <w:p>
            <w:pPr>
              <w:spacing w:after="0"/>
              <w:rPr>
                <w:sz w:val="11"/>
                <w:szCs w:val="11"/>
                <w:color w:val="auto"/>
              </w:rPr>
            </w:pPr>
          </w:p>
        </w:tc>
        <w:tc>
          <w:tcPr>
            <w:tcW w:w="780" w:type="dxa"/>
            <w:vAlign w:val="bottom"/>
            <w:shd w:val="clear" w:color="auto" w:fill="F2F7FE"/>
          </w:tcPr>
          <w:p>
            <w:pPr>
              <w:jc w:val="right"/>
              <w:spacing w:after="0"/>
              <w:rPr>
                <w:sz w:val="20"/>
                <w:szCs w:val="20"/>
                <w:color w:val="auto"/>
              </w:rPr>
            </w:pPr>
            <w:r>
              <w:rPr>
                <w:rFonts w:ascii="Arial" w:cs="Arial" w:eastAsia="Arial" w:hAnsi="Arial"/>
                <w:sz w:val="10"/>
                <w:szCs w:val="10"/>
                <w:color w:val="auto"/>
              </w:rPr>
              <w:t>357,044</w:t>
            </w:r>
          </w:p>
        </w:tc>
        <w:tc>
          <w:tcPr>
            <w:tcW w:w="0" w:type="dxa"/>
            <w:vAlign w:val="bottom"/>
          </w:tcPr>
          <w:p>
            <w:pPr>
              <w:spacing w:after="0"/>
              <w:rPr>
                <w:sz w:val="1"/>
                <w:szCs w:val="1"/>
                <w:color w:val="auto"/>
              </w:rPr>
            </w:pPr>
          </w:p>
        </w:tc>
      </w:tr>
      <w:tr>
        <w:trPr>
          <w:trHeight w:val="254"/>
        </w:trPr>
        <w:tc>
          <w:tcPr>
            <w:tcW w:w="4960" w:type="dxa"/>
            <w:vAlign w:val="bottom"/>
          </w:tcPr>
          <w:p>
            <w:pPr>
              <w:spacing w:after="0"/>
              <w:rPr>
                <w:sz w:val="20"/>
                <w:szCs w:val="20"/>
                <w:color w:val="auto"/>
              </w:rPr>
            </w:pPr>
            <w:r>
              <w:rPr>
                <w:rFonts w:ascii="Arial" w:cs="Arial" w:eastAsia="Arial" w:hAnsi="Arial"/>
                <w:sz w:val="10"/>
                <w:szCs w:val="10"/>
                <w:b w:val="1"/>
                <w:bCs w:val="1"/>
                <w:color w:val="auto"/>
              </w:rPr>
              <w:t>Vikas Bhalla</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0"/>
                <w:szCs w:val="10"/>
                <w:color w:val="auto"/>
              </w:rPr>
              <w:t>225,826</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464,299</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0"/>
                <w:szCs w:val="10"/>
                <w:color w:val="auto"/>
              </w:rPr>
              <w:t>8,300</w:t>
            </w:r>
            <w:r>
              <w:rPr>
                <w:rFonts w:ascii="Arial" w:cs="Arial" w:eastAsia="Arial" w:hAnsi="Arial"/>
                <w:sz w:val="15"/>
                <w:szCs w:val="15"/>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0"/>
                <w:szCs w:val="10"/>
                <w:color w:val="auto"/>
              </w:rPr>
              <w:t>650,222</w:t>
            </w: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Arial" w:cs="Arial" w:eastAsia="Arial" w:hAnsi="Arial"/>
                <w:sz w:val="10"/>
                <w:szCs w:val="10"/>
                <w:color w:val="auto"/>
              </w:rPr>
              <w:t>4,150</w:t>
            </w:r>
            <w:r>
              <w:rPr>
                <w:rFonts w:ascii="Arial" w:cs="Arial" w:eastAsia="Arial" w:hAnsi="Arial"/>
                <w:sz w:val="15"/>
                <w:szCs w:val="15"/>
                <w:color w:val="auto"/>
                <w:vertAlign w:val="superscript"/>
              </w:rPr>
              <w:t>(2)</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8,300</w:t>
            </w:r>
          </w:p>
        </w:tc>
        <w:tc>
          <w:tcPr>
            <w:tcW w:w="9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325,111</w:t>
            </w:r>
          </w:p>
        </w:tc>
        <w:tc>
          <w:tcPr>
            <w:tcW w:w="0" w:type="dxa"/>
            <w:vAlign w:val="bottom"/>
          </w:tcPr>
          <w:p>
            <w:pPr>
              <w:spacing w:after="0"/>
              <w:rPr>
                <w:sz w:val="1"/>
                <w:szCs w:val="1"/>
                <w:color w:val="auto"/>
              </w:rPr>
            </w:pPr>
          </w:p>
        </w:tc>
      </w:tr>
      <w:tr>
        <w:trPr>
          <w:trHeight w:val="139"/>
        </w:trPr>
        <w:tc>
          <w:tcPr>
            <w:tcW w:w="496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0"/>
                <w:szCs w:val="10"/>
                <w:color w:val="auto"/>
              </w:rPr>
              <w:t>4,150</w:t>
            </w:r>
            <w:r>
              <w:rPr>
                <w:rFonts w:ascii="Arial" w:cs="Arial" w:eastAsia="Arial" w:hAnsi="Arial"/>
                <w:sz w:val="15"/>
                <w:szCs w:val="15"/>
                <w:color w:val="auto"/>
                <w:vertAlign w:val="superscript"/>
              </w:rPr>
              <w:t>(3)</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8,300</w:t>
            </w:r>
          </w:p>
        </w:tc>
        <w:tc>
          <w:tcPr>
            <w:tcW w:w="9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423,715</w:t>
            </w:r>
          </w:p>
        </w:tc>
        <w:tc>
          <w:tcPr>
            <w:tcW w:w="0" w:type="dxa"/>
            <w:vAlign w:val="bottom"/>
          </w:tcPr>
          <w:p>
            <w:pPr>
              <w:spacing w:after="0"/>
              <w:rPr>
                <w:sz w:val="1"/>
                <w:szCs w:val="1"/>
                <w:color w:val="auto"/>
              </w:rPr>
            </w:pPr>
          </w:p>
        </w:tc>
      </w:tr>
      <w:tr>
        <w:trPr>
          <w:trHeight w:val="243"/>
        </w:trPr>
        <w:tc>
          <w:tcPr>
            <w:tcW w:w="4960" w:type="dxa"/>
            <w:vAlign w:val="bottom"/>
            <w:shd w:val="clear" w:color="auto" w:fill="F2F7FE"/>
          </w:tcPr>
          <w:p>
            <w:pPr>
              <w:spacing w:after="0"/>
              <w:rPr>
                <w:sz w:val="20"/>
                <w:szCs w:val="20"/>
                <w:color w:val="auto"/>
              </w:rPr>
            </w:pPr>
            <w:r>
              <w:rPr>
                <w:rFonts w:ascii="Arial" w:cs="Arial" w:eastAsia="Arial" w:hAnsi="Arial"/>
                <w:sz w:val="10"/>
                <w:szCs w:val="10"/>
                <w:b w:val="1"/>
                <w:bCs w:val="1"/>
                <w:color w:val="auto"/>
              </w:rPr>
              <w:t>Samuel Meckey</w:t>
            </w:r>
          </w:p>
        </w:tc>
        <w:tc>
          <w:tcPr>
            <w:tcW w:w="120" w:type="dxa"/>
            <w:vAlign w:val="bottom"/>
            <w:shd w:val="clear" w:color="auto" w:fill="F2F7FE"/>
          </w:tcPr>
          <w:p>
            <w:pPr>
              <w:spacing w:after="0"/>
              <w:rPr>
                <w:sz w:val="21"/>
                <w:szCs w:val="21"/>
                <w:color w:val="auto"/>
              </w:rPr>
            </w:pPr>
          </w:p>
        </w:tc>
        <w:tc>
          <w:tcPr>
            <w:tcW w:w="420" w:type="dxa"/>
            <w:vAlign w:val="bottom"/>
            <w:shd w:val="clear" w:color="auto" w:fill="F2F7FE"/>
          </w:tcPr>
          <w:p>
            <w:pPr>
              <w:spacing w:after="0"/>
              <w:rPr>
                <w:sz w:val="21"/>
                <w:szCs w:val="21"/>
                <w:color w:val="auto"/>
              </w:rPr>
            </w:pPr>
          </w:p>
        </w:tc>
        <w:tc>
          <w:tcPr>
            <w:tcW w:w="100" w:type="dxa"/>
            <w:vAlign w:val="bottom"/>
            <w:shd w:val="clear" w:color="auto" w:fill="F2F7FE"/>
          </w:tcPr>
          <w:p>
            <w:pPr>
              <w:spacing w:after="0"/>
              <w:rPr>
                <w:sz w:val="21"/>
                <w:szCs w:val="21"/>
                <w:color w:val="auto"/>
              </w:rPr>
            </w:pPr>
          </w:p>
        </w:tc>
        <w:tc>
          <w:tcPr>
            <w:tcW w:w="660" w:type="dxa"/>
            <w:vAlign w:val="bottom"/>
            <w:shd w:val="clear" w:color="auto" w:fill="F2F7FE"/>
          </w:tcPr>
          <w:p>
            <w:pPr>
              <w:spacing w:after="0"/>
              <w:rPr>
                <w:sz w:val="21"/>
                <w:szCs w:val="21"/>
                <w:color w:val="auto"/>
              </w:rPr>
            </w:pPr>
          </w:p>
        </w:tc>
        <w:tc>
          <w:tcPr>
            <w:tcW w:w="660" w:type="dxa"/>
            <w:vAlign w:val="bottom"/>
            <w:shd w:val="clear" w:color="auto" w:fill="F2F7FE"/>
          </w:tcPr>
          <w:p>
            <w:pPr>
              <w:jc w:val="right"/>
              <w:ind w:right="28"/>
              <w:spacing w:after="0"/>
              <w:rPr>
                <w:sz w:val="20"/>
                <w:szCs w:val="20"/>
                <w:color w:val="auto"/>
              </w:rPr>
            </w:pPr>
            <w:r>
              <w:rPr>
                <w:rFonts w:ascii="Arial" w:cs="Arial" w:eastAsia="Arial" w:hAnsi="Arial"/>
                <w:sz w:val="10"/>
                <w:szCs w:val="10"/>
                <w:color w:val="auto"/>
              </w:rPr>
              <w:t>318,750</w:t>
            </w:r>
          </w:p>
        </w:tc>
        <w:tc>
          <w:tcPr>
            <w:tcW w:w="700" w:type="dxa"/>
            <w:vAlign w:val="bottom"/>
            <w:gridSpan w:val="2"/>
            <w:shd w:val="clear" w:color="auto" w:fill="F2F7FE"/>
          </w:tcPr>
          <w:p>
            <w:pPr>
              <w:jc w:val="right"/>
              <w:ind w:right="120"/>
              <w:spacing w:after="0"/>
              <w:rPr>
                <w:sz w:val="20"/>
                <w:szCs w:val="20"/>
                <w:color w:val="auto"/>
              </w:rPr>
            </w:pPr>
            <w:r>
              <w:rPr>
                <w:rFonts w:ascii="Arial" w:cs="Arial" w:eastAsia="Arial" w:hAnsi="Arial"/>
                <w:sz w:val="10"/>
                <w:szCs w:val="10"/>
                <w:color w:val="auto"/>
              </w:rPr>
              <w:t>655,350</w:t>
            </w:r>
          </w:p>
        </w:tc>
        <w:tc>
          <w:tcPr>
            <w:tcW w:w="540" w:type="dxa"/>
            <w:vAlign w:val="bottom"/>
            <w:shd w:val="clear" w:color="auto" w:fill="F2F7FE"/>
          </w:tcPr>
          <w:p>
            <w:pPr>
              <w:spacing w:after="0"/>
              <w:rPr>
                <w:sz w:val="21"/>
                <w:szCs w:val="21"/>
                <w:color w:val="auto"/>
              </w:rPr>
            </w:pPr>
          </w:p>
        </w:tc>
        <w:tc>
          <w:tcPr>
            <w:tcW w:w="680" w:type="dxa"/>
            <w:vAlign w:val="bottom"/>
            <w:shd w:val="clear" w:color="auto" w:fill="F2F7FE"/>
          </w:tcPr>
          <w:p>
            <w:pPr>
              <w:spacing w:after="0"/>
              <w:rPr>
                <w:sz w:val="21"/>
                <w:szCs w:val="21"/>
                <w:color w:val="auto"/>
              </w:rPr>
            </w:pPr>
          </w:p>
        </w:tc>
        <w:tc>
          <w:tcPr>
            <w:tcW w:w="520" w:type="dxa"/>
            <w:vAlign w:val="bottom"/>
            <w:shd w:val="clear" w:color="auto" w:fill="F2F7FE"/>
          </w:tcPr>
          <w:p>
            <w:pPr>
              <w:spacing w:after="0"/>
              <w:rPr>
                <w:sz w:val="21"/>
                <w:szCs w:val="21"/>
                <w:color w:val="auto"/>
              </w:rPr>
            </w:pPr>
          </w:p>
        </w:tc>
        <w:tc>
          <w:tcPr>
            <w:tcW w:w="80" w:type="dxa"/>
            <w:vAlign w:val="bottom"/>
            <w:shd w:val="clear" w:color="auto" w:fill="F2F7FE"/>
          </w:tcPr>
          <w:p>
            <w:pPr>
              <w:spacing w:after="0"/>
              <w:rPr>
                <w:sz w:val="21"/>
                <w:szCs w:val="21"/>
                <w:color w:val="auto"/>
              </w:rPr>
            </w:pPr>
          </w:p>
        </w:tc>
        <w:tc>
          <w:tcPr>
            <w:tcW w:w="960" w:type="dxa"/>
            <w:vAlign w:val="bottom"/>
            <w:vMerge w:val="restart"/>
            <w:shd w:val="clear" w:color="auto" w:fill="F2F7FE"/>
          </w:tcPr>
          <w:p>
            <w:pPr>
              <w:jc w:val="right"/>
              <w:spacing w:after="0"/>
              <w:rPr>
                <w:sz w:val="20"/>
                <w:szCs w:val="20"/>
                <w:color w:val="auto"/>
              </w:rPr>
            </w:pPr>
            <w:r>
              <w:rPr>
                <w:rFonts w:ascii="Arial" w:cs="Arial" w:eastAsia="Arial" w:hAnsi="Arial"/>
                <w:sz w:val="10"/>
                <w:szCs w:val="10"/>
                <w:color w:val="auto"/>
              </w:rPr>
              <w:t>6,565</w:t>
            </w:r>
            <w:r>
              <w:rPr>
                <w:rFonts w:ascii="Arial" w:cs="Arial" w:eastAsia="Arial" w:hAnsi="Arial"/>
                <w:sz w:val="15"/>
                <w:szCs w:val="15"/>
                <w:color w:val="auto"/>
                <w:vertAlign w:val="superscript"/>
              </w:rPr>
              <w:t>(4)</w:t>
            </w:r>
          </w:p>
        </w:tc>
        <w:tc>
          <w:tcPr>
            <w:tcW w:w="780" w:type="dxa"/>
            <w:vAlign w:val="bottom"/>
            <w:vMerge w:val="restart"/>
            <w:shd w:val="clear" w:color="auto" w:fill="F2F7FE"/>
          </w:tcPr>
          <w:p>
            <w:pPr>
              <w:jc w:val="right"/>
              <w:spacing w:after="0"/>
              <w:rPr>
                <w:sz w:val="20"/>
                <w:szCs w:val="20"/>
                <w:color w:val="auto"/>
              </w:rPr>
            </w:pPr>
            <w:r>
              <w:rPr>
                <w:rFonts w:ascii="Arial" w:cs="Arial" w:eastAsia="Arial" w:hAnsi="Arial"/>
                <w:sz w:val="10"/>
                <w:szCs w:val="10"/>
                <w:color w:val="auto"/>
              </w:rPr>
              <w:t>514,302</w:t>
            </w:r>
          </w:p>
        </w:tc>
        <w:tc>
          <w:tcPr>
            <w:tcW w:w="0" w:type="dxa"/>
            <w:vAlign w:val="bottom"/>
          </w:tcPr>
          <w:p>
            <w:pPr>
              <w:spacing w:after="0"/>
              <w:rPr>
                <w:sz w:val="1"/>
                <w:szCs w:val="1"/>
                <w:color w:val="auto"/>
              </w:rPr>
            </w:pPr>
          </w:p>
        </w:tc>
      </w:tr>
      <w:tr>
        <w:trPr>
          <w:trHeight w:val="117"/>
        </w:trPr>
        <w:tc>
          <w:tcPr>
            <w:tcW w:w="4960" w:type="dxa"/>
            <w:vAlign w:val="bottom"/>
            <w:shd w:val="clear" w:color="auto" w:fill="F2F7FE"/>
          </w:tcPr>
          <w:p>
            <w:pPr>
              <w:spacing w:after="0"/>
              <w:rPr>
                <w:sz w:val="10"/>
                <w:szCs w:val="10"/>
                <w:color w:val="auto"/>
              </w:rPr>
            </w:pPr>
          </w:p>
        </w:tc>
        <w:tc>
          <w:tcPr>
            <w:tcW w:w="120" w:type="dxa"/>
            <w:vAlign w:val="bottom"/>
            <w:shd w:val="clear" w:color="auto" w:fill="F2F7FE"/>
          </w:tcPr>
          <w:p>
            <w:pPr>
              <w:spacing w:after="0"/>
              <w:rPr>
                <w:sz w:val="10"/>
                <w:szCs w:val="10"/>
                <w:color w:val="auto"/>
              </w:rPr>
            </w:pPr>
          </w:p>
        </w:tc>
        <w:tc>
          <w:tcPr>
            <w:tcW w:w="520" w:type="dxa"/>
            <w:vAlign w:val="bottom"/>
            <w:gridSpan w:val="2"/>
            <w:shd w:val="clear" w:color="auto" w:fill="F2F7FE"/>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shd w:val="clear" w:color="auto" w:fill="F2F7FE"/>
          </w:tcPr>
          <w:p>
            <w:pPr>
              <w:spacing w:after="0"/>
              <w:rPr>
                <w:sz w:val="10"/>
                <w:szCs w:val="10"/>
                <w:color w:val="auto"/>
              </w:rPr>
            </w:pPr>
          </w:p>
        </w:tc>
        <w:tc>
          <w:tcPr>
            <w:tcW w:w="660" w:type="dxa"/>
            <w:vAlign w:val="bottom"/>
            <w:shd w:val="clear" w:color="auto" w:fill="F2F7FE"/>
          </w:tcPr>
          <w:p>
            <w:pPr>
              <w:spacing w:after="0"/>
              <w:rPr>
                <w:sz w:val="10"/>
                <w:szCs w:val="10"/>
                <w:color w:val="auto"/>
              </w:rPr>
            </w:pPr>
          </w:p>
        </w:tc>
        <w:tc>
          <w:tcPr>
            <w:tcW w:w="580" w:type="dxa"/>
            <w:vAlign w:val="bottom"/>
            <w:shd w:val="clear" w:color="auto" w:fill="F2F7FE"/>
          </w:tcPr>
          <w:p>
            <w:pPr>
              <w:spacing w:after="0"/>
              <w:rPr>
                <w:sz w:val="10"/>
                <w:szCs w:val="10"/>
                <w:color w:val="auto"/>
              </w:rPr>
            </w:pPr>
          </w:p>
        </w:tc>
        <w:tc>
          <w:tcPr>
            <w:tcW w:w="120" w:type="dxa"/>
            <w:vAlign w:val="bottom"/>
            <w:shd w:val="clear" w:color="auto" w:fill="F2F7FE"/>
          </w:tcPr>
          <w:p>
            <w:pPr>
              <w:spacing w:after="0"/>
              <w:rPr>
                <w:sz w:val="10"/>
                <w:szCs w:val="10"/>
                <w:color w:val="auto"/>
              </w:rPr>
            </w:pPr>
          </w:p>
        </w:tc>
        <w:tc>
          <w:tcPr>
            <w:tcW w:w="540" w:type="dxa"/>
            <w:vAlign w:val="bottom"/>
            <w:shd w:val="clear" w:color="auto" w:fill="F2F7FE"/>
          </w:tcPr>
          <w:p>
            <w:pPr>
              <w:spacing w:after="0"/>
              <w:rPr>
                <w:sz w:val="10"/>
                <w:szCs w:val="10"/>
                <w:color w:val="auto"/>
              </w:rPr>
            </w:pPr>
          </w:p>
        </w:tc>
        <w:tc>
          <w:tcPr>
            <w:tcW w:w="680" w:type="dxa"/>
            <w:vAlign w:val="bottom"/>
            <w:vMerge w:val="restart"/>
            <w:shd w:val="clear" w:color="auto" w:fill="F2F7FE"/>
          </w:tcPr>
          <w:p>
            <w:pPr>
              <w:jc w:val="right"/>
              <w:spacing w:after="0"/>
              <w:rPr>
                <w:sz w:val="20"/>
                <w:szCs w:val="20"/>
                <w:color w:val="auto"/>
              </w:rPr>
            </w:pPr>
            <w:r>
              <w:rPr>
                <w:rFonts w:ascii="Arial" w:cs="Arial" w:eastAsia="Arial" w:hAnsi="Arial"/>
                <w:sz w:val="10"/>
                <w:szCs w:val="10"/>
                <w:color w:val="auto"/>
              </w:rPr>
              <w:t>3,283</w:t>
            </w:r>
            <w:r>
              <w:rPr>
                <w:rFonts w:ascii="Arial" w:cs="Arial" w:eastAsia="Arial" w:hAnsi="Arial"/>
                <w:sz w:val="15"/>
                <w:szCs w:val="15"/>
                <w:color w:val="auto"/>
                <w:vertAlign w:val="superscript"/>
              </w:rPr>
              <w:t>(2)</w:t>
            </w:r>
          </w:p>
        </w:tc>
        <w:tc>
          <w:tcPr>
            <w:tcW w:w="520" w:type="dxa"/>
            <w:vAlign w:val="bottom"/>
            <w:shd w:val="clear" w:color="auto" w:fill="F2F7FE"/>
          </w:tcPr>
          <w:p>
            <w:pPr>
              <w:spacing w:after="0"/>
              <w:rPr>
                <w:sz w:val="10"/>
                <w:szCs w:val="10"/>
                <w:color w:val="auto"/>
              </w:rPr>
            </w:pPr>
          </w:p>
        </w:tc>
        <w:tc>
          <w:tcPr>
            <w:tcW w:w="80" w:type="dxa"/>
            <w:vAlign w:val="bottom"/>
            <w:shd w:val="clear" w:color="auto" w:fill="F2F7FE"/>
          </w:tcPr>
          <w:p>
            <w:pPr>
              <w:spacing w:after="0"/>
              <w:rPr>
                <w:sz w:val="10"/>
                <w:szCs w:val="10"/>
                <w:color w:val="auto"/>
              </w:rPr>
            </w:pPr>
          </w:p>
        </w:tc>
        <w:tc>
          <w:tcPr>
            <w:tcW w:w="960" w:type="dxa"/>
            <w:vAlign w:val="bottom"/>
            <w:vMerge w:val="continue"/>
            <w:shd w:val="clear" w:color="auto" w:fill="F2F7FE"/>
          </w:tcPr>
          <w:p>
            <w:pPr>
              <w:spacing w:after="0"/>
              <w:rPr>
                <w:sz w:val="10"/>
                <w:szCs w:val="10"/>
                <w:color w:val="auto"/>
              </w:rPr>
            </w:pPr>
          </w:p>
        </w:tc>
        <w:tc>
          <w:tcPr>
            <w:tcW w:w="780" w:type="dxa"/>
            <w:vAlign w:val="bottom"/>
            <w:vMerge w:val="continue"/>
            <w:shd w:val="clear" w:color="auto" w:fill="F2F7F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960" w:type="dxa"/>
            <w:vAlign w:val="bottom"/>
            <w:shd w:val="clear" w:color="auto" w:fill="F2F7FE"/>
          </w:tcPr>
          <w:p>
            <w:pPr>
              <w:spacing w:after="0"/>
              <w:rPr>
                <w:sz w:val="8"/>
                <w:szCs w:val="8"/>
                <w:color w:val="auto"/>
              </w:rPr>
            </w:pPr>
          </w:p>
        </w:tc>
        <w:tc>
          <w:tcPr>
            <w:tcW w:w="120" w:type="dxa"/>
            <w:vAlign w:val="bottom"/>
            <w:shd w:val="clear" w:color="auto" w:fill="F2F7FE"/>
          </w:tcPr>
          <w:p>
            <w:pPr>
              <w:spacing w:after="0"/>
              <w:rPr>
                <w:sz w:val="8"/>
                <w:szCs w:val="8"/>
                <w:color w:val="auto"/>
              </w:rPr>
            </w:pPr>
          </w:p>
        </w:tc>
        <w:tc>
          <w:tcPr>
            <w:tcW w:w="520" w:type="dxa"/>
            <w:vAlign w:val="bottom"/>
            <w:gridSpan w:val="2"/>
            <w:shd w:val="clear" w:color="auto" w:fill="F2F7FE"/>
          </w:tcPr>
          <w:p>
            <w:pPr>
              <w:jc w:val="right"/>
              <w:ind w:right="100"/>
              <w:spacing w:after="0" w:line="97" w:lineRule="exact"/>
              <w:rPr>
                <w:sz w:val="20"/>
                <w:szCs w:val="20"/>
                <w:color w:val="auto"/>
              </w:rPr>
            </w:pPr>
            <w:r>
              <w:rPr>
                <w:rFonts w:ascii="Arial" w:cs="Arial" w:eastAsia="Arial" w:hAnsi="Arial"/>
                <w:sz w:val="10"/>
                <w:szCs w:val="10"/>
                <w:color w:val="auto"/>
              </w:rPr>
              <w:t>2/19/20</w:t>
            </w:r>
          </w:p>
        </w:tc>
        <w:tc>
          <w:tcPr>
            <w:tcW w:w="660" w:type="dxa"/>
            <w:vAlign w:val="bottom"/>
            <w:shd w:val="clear" w:color="auto" w:fill="F2F7FE"/>
          </w:tcPr>
          <w:p>
            <w:pPr>
              <w:spacing w:after="0"/>
              <w:rPr>
                <w:sz w:val="8"/>
                <w:szCs w:val="8"/>
                <w:color w:val="auto"/>
              </w:rPr>
            </w:pPr>
          </w:p>
        </w:tc>
        <w:tc>
          <w:tcPr>
            <w:tcW w:w="660" w:type="dxa"/>
            <w:vAlign w:val="bottom"/>
            <w:shd w:val="clear" w:color="auto" w:fill="F2F7FE"/>
          </w:tcPr>
          <w:p>
            <w:pPr>
              <w:spacing w:after="0"/>
              <w:rPr>
                <w:sz w:val="8"/>
                <w:szCs w:val="8"/>
                <w:color w:val="auto"/>
              </w:rPr>
            </w:pPr>
          </w:p>
        </w:tc>
        <w:tc>
          <w:tcPr>
            <w:tcW w:w="580" w:type="dxa"/>
            <w:vAlign w:val="bottom"/>
            <w:shd w:val="clear" w:color="auto" w:fill="F2F7FE"/>
          </w:tcPr>
          <w:p>
            <w:pPr>
              <w:spacing w:after="0"/>
              <w:rPr>
                <w:sz w:val="8"/>
                <w:szCs w:val="8"/>
                <w:color w:val="auto"/>
              </w:rPr>
            </w:pPr>
          </w:p>
        </w:tc>
        <w:tc>
          <w:tcPr>
            <w:tcW w:w="120" w:type="dxa"/>
            <w:vAlign w:val="bottom"/>
            <w:shd w:val="clear" w:color="auto" w:fill="F2F7FE"/>
          </w:tcPr>
          <w:p>
            <w:pPr>
              <w:spacing w:after="0"/>
              <w:rPr>
                <w:sz w:val="8"/>
                <w:szCs w:val="8"/>
                <w:color w:val="auto"/>
              </w:rPr>
            </w:pPr>
          </w:p>
        </w:tc>
        <w:tc>
          <w:tcPr>
            <w:tcW w:w="540" w:type="dxa"/>
            <w:vAlign w:val="bottom"/>
            <w:shd w:val="clear" w:color="auto" w:fill="F2F7FE"/>
          </w:tcPr>
          <w:p>
            <w:pPr>
              <w:spacing w:after="0"/>
              <w:rPr>
                <w:sz w:val="8"/>
                <w:szCs w:val="8"/>
                <w:color w:val="auto"/>
              </w:rPr>
            </w:pPr>
          </w:p>
        </w:tc>
        <w:tc>
          <w:tcPr>
            <w:tcW w:w="680" w:type="dxa"/>
            <w:vAlign w:val="bottom"/>
            <w:vMerge w:val="continue"/>
            <w:shd w:val="clear" w:color="auto" w:fill="F2F7FE"/>
          </w:tcPr>
          <w:p>
            <w:pPr>
              <w:spacing w:after="0"/>
              <w:rPr>
                <w:sz w:val="8"/>
                <w:szCs w:val="8"/>
                <w:color w:val="auto"/>
              </w:rPr>
            </w:pPr>
          </w:p>
        </w:tc>
        <w:tc>
          <w:tcPr>
            <w:tcW w:w="600" w:type="dxa"/>
            <w:vAlign w:val="bottom"/>
            <w:gridSpan w:val="2"/>
            <w:shd w:val="clear" w:color="auto" w:fill="F2F7FE"/>
          </w:tcPr>
          <w:p>
            <w:pPr>
              <w:jc w:val="right"/>
              <w:ind w:right="80"/>
              <w:spacing w:after="0" w:line="97" w:lineRule="exact"/>
              <w:rPr>
                <w:sz w:val="20"/>
                <w:szCs w:val="20"/>
                <w:color w:val="auto"/>
              </w:rPr>
            </w:pPr>
            <w:r>
              <w:rPr>
                <w:rFonts w:ascii="Arial" w:cs="Arial" w:eastAsia="Arial" w:hAnsi="Arial"/>
                <w:sz w:val="10"/>
                <w:szCs w:val="10"/>
                <w:color w:val="auto"/>
              </w:rPr>
              <w:t>6,566</w:t>
            </w:r>
          </w:p>
        </w:tc>
        <w:tc>
          <w:tcPr>
            <w:tcW w:w="960" w:type="dxa"/>
            <w:vAlign w:val="bottom"/>
            <w:shd w:val="clear" w:color="auto" w:fill="F2F7FE"/>
          </w:tcPr>
          <w:p>
            <w:pPr>
              <w:spacing w:after="0"/>
              <w:rPr>
                <w:sz w:val="8"/>
                <w:szCs w:val="8"/>
                <w:color w:val="auto"/>
              </w:rPr>
            </w:pPr>
          </w:p>
        </w:tc>
        <w:tc>
          <w:tcPr>
            <w:tcW w:w="780" w:type="dxa"/>
            <w:vAlign w:val="bottom"/>
            <w:shd w:val="clear" w:color="auto" w:fill="F2F7FE"/>
          </w:tcPr>
          <w:p>
            <w:pPr>
              <w:jc w:val="right"/>
              <w:spacing w:after="0" w:line="97" w:lineRule="exact"/>
              <w:rPr>
                <w:sz w:val="20"/>
                <w:szCs w:val="20"/>
                <w:color w:val="auto"/>
              </w:rPr>
            </w:pPr>
            <w:r>
              <w:rPr>
                <w:rFonts w:ascii="Arial" w:cs="Arial" w:eastAsia="Arial" w:hAnsi="Arial"/>
                <w:sz w:val="10"/>
                <w:szCs w:val="10"/>
                <w:color w:val="auto"/>
              </w:rPr>
              <w:t>257,190</w:t>
            </w:r>
          </w:p>
        </w:tc>
        <w:tc>
          <w:tcPr>
            <w:tcW w:w="0" w:type="dxa"/>
            <w:vAlign w:val="bottom"/>
          </w:tcPr>
          <w:p>
            <w:pPr>
              <w:spacing w:after="0"/>
              <w:rPr>
                <w:sz w:val="1"/>
                <w:szCs w:val="1"/>
                <w:color w:val="auto"/>
              </w:rPr>
            </w:pPr>
          </w:p>
        </w:tc>
      </w:tr>
      <w:tr>
        <w:trPr>
          <w:trHeight w:val="136"/>
        </w:trPr>
        <w:tc>
          <w:tcPr>
            <w:tcW w:w="4960" w:type="dxa"/>
            <w:vAlign w:val="bottom"/>
            <w:tcBorders>
              <w:bottom w:val="single" w:sz="8" w:color="auto"/>
            </w:tcBorders>
            <w:shd w:val="clear" w:color="auto" w:fill="F2F7FE"/>
          </w:tcPr>
          <w:p>
            <w:pPr>
              <w:spacing w:after="0"/>
              <w:rPr>
                <w:sz w:val="11"/>
                <w:szCs w:val="11"/>
                <w:color w:val="auto"/>
              </w:rPr>
            </w:pPr>
          </w:p>
        </w:tc>
        <w:tc>
          <w:tcPr>
            <w:tcW w:w="120" w:type="dxa"/>
            <w:vAlign w:val="bottom"/>
            <w:tcBorders>
              <w:bottom w:val="single" w:sz="8" w:color="auto"/>
            </w:tcBorders>
            <w:shd w:val="clear" w:color="auto" w:fill="F2F7FE"/>
          </w:tcPr>
          <w:p>
            <w:pPr>
              <w:spacing w:after="0"/>
              <w:rPr>
                <w:sz w:val="11"/>
                <w:szCs w:val="11"/>
                <w:color w:val="auto"/>
              </w:rPr>
            </w:pPr>
          </w:p>
        </w:tc>
        <w:tc>
          <w:tcPr>
            <w:tcW w:w="520" w:type="dxa"/>
            <w:vAlign w:val="bottom"/>
            <w:tcBorders>
              <w:bottom w:val="single" w:sz="8" w:color="auto"/>
            </w:tcBorders>
            <w:gridSpan w:val="2"/>
            <w:shd w:val="clear" w:color="auto" w:fill="F2F7FE"/>
          </w:tcPr>
          <w:p>
            <w:pPr>
              <w:jc w:val="right"/>
              <w:ind w:right="100"/>
              <w:spacing w:after="0"/>
              <w:rPr>
                <w:sz w:val="20"/>
                <w:szCs w:val="20"/>
                <w:color w:val="auto"/>
              </w:rPr>
            </w:pPr>
            <w:r>
              <w:rPr>
                <w:rFonts w:ascii="Arial" w:cs="Arial" w:eastAsia="Arial" w:hAnsi="Arial"/>
                <w:sz w:val="10"/>
                <w:szCs w:val="10"/>
                <w:color w:val="auto"/>
              </w:rPr>
              <w:t>2/19/20</w:t>
            </w:r>
          </w:p>
        </w:tc>
        <w:tc>
          <w:tcPr>
            <w:tcW w:w="660" w:type="dxa"/>
            <w:vAlign w:val="bottom"/>
            <w:tcBorders>
              <w:bottom w:val="single" w:sz="8" w:color="auto"/>
            </w:tcBorders>
            <w:shd w:val="clear" w:color="auto" w:fill="F2F7FE"/>
          </w:tcPr>
          <w:p>
            <w:pPr>
              <w:spacing w:after="0"/>
              <w:rPr>
                <w:sz w:val="11"/>
                <w:szCs w:val="11"/>
                <w:color w:val="auto"/>
              </w:rPr>
            </w:pPr>
          </w:p>
        </w:tc>
        <w:tc>
          <w:tcPr>
            <w:tcW w:w="660" w:type="dxa"/>
            <w:vAlign w:val="bottom"/>
            <w:tcBorders>
              <w:bottom w:val="single" w:sz="8" w:color="auto"/>
            </w:tcBorders>
            <w:shd w:val="clear" w:color="auto" w:fill="F2F7FE"/>
          </w:tcPr>
          <w:p>
            <w:pPr>
              <w:spacing w:after="0"/>
              <w:rPr>
                <w:sz w:val="11"/>
                <w:szCs w:val="11"/>
                <w:color w:val="auto"/>
              </w:rPr>
            </w:pPr>
          </w:p>
        </w:tc>
        <w:tc>
          <w:tcPr>
            <w:tcW w:w="580" w:type="dxa"/>
            <w:vAlign w:val="bottom"/>
            <w:tcBorders>
              <w:bottom w:val="single" w:sz="8" w:color="auto"/>
            </w:tcBorders>
            <w:shd w:val="clear" w:color="auto" w:fill="F2F7FE"/>
          </w:tcPr>
          <w:p>
            <w:pPr>
              <w:spacing w:after="0"/>
              <w:rPr>
                <w:sz w:val="11"/>
                <w:szCs w:val="11"/>
                <w:color w:val="auto"/>
              </w:rPr>
            </w:pPr>
          </w:p>
        </w:tc>
        <w:tc>
          <w:tcPr>
            <w:tcW w:w="120" w:type="dxa"/>
            <w:vAlign w:val="bottom"/>
            <w:tcBorders>
              <w:bottom w:val="single" w:sz="8" w:color="auto"/>
            </w:tcBorders>
            <w:shd w:val="clear" w:color="auto" w:fill="F2F7FE"/>
          </w:tcPr>
          <w:p>
            <w:pPr>
              <w:spacing w:after="0"/>
              <w:rPr>
                <w:sz w:val="11"/>
                <w:szCs w:val="11"/>
                <w:color w:val="auto"/>
              </w:rPr>
            </w:pPr>
          </w:p>
        </w:tc>
        <w:tc>
          <w:tcPr>
            <w:tcW w:w="540" w:type="dxa"/>
            <w:vAlign w:val="bottom"/>
            <w:tcBorders>
              <w:bottom w:val="single" w:sz="8" w:color="auto"/>
            </w:tcBorders>
            <w:shd w:val="clear" w:color="auto" w:fill="F2F7FE"/>
          </w:tcPr>
          <w:p>
            <w:pPr>
              <w:spacing w:after="0"/>
              <w:rPr>
                <w:sz w:val="11"/>
                <w:szCs w:val="11"/>
                <w:color w:val="auto"/>
              </w:rPr>
            </w:pPr>
          </w:p>
        </w:tc>
        <w:tc>
          <w:tcPr>
            <w:tcW w:w="680" w:type="dxa"/>
            <w:vAlign w:val="bottom"/>
            <w:tcBorders>
              <w:bottom w:val="single" w:sz="8" w:color="auto"/>
            </w:tcBorders>
            <w:shd w:val="clear" w:color="auto" w:fill="F2F7FE"/>
          </w:tcPr>
          <w:p>
            <w:pPr>
              <w:jc w:val="right"/>
              <w:spacing w:after="0" w:line="136" w:lineRule="exact"/>
              <w:rPr>
                <w:sz w:val="20"/>
                <w:szCs w:val="20"/>
                <w:color w:val="auto"/>
              </w:rPr>
            </w:pPr>
            <w:r>
              <w:rPr>
                <w:rFonts w:ascii="Arial" w:cs="Arial" w:eastAsia="Arial" w:hAnsi="Arial"/>
                <w:sz w:val="10"/>
                <w:szCs w:val="10"/>
                <w:color w:val="auto"/>
              </w:rPr>
              <w:t>3,282</w:t>
            </w:r>
            <w:r>
              <w:rPr>
                <w:rFonts w:ascii="Arial" w:cs="Arial" w:eastAsia="Arial" w:hAnsi="Arial"/>
                <w:sz w:val="15"/>
                <w:szCs w:val="15"/>
                <w:color w:val="auto"/>
                <w:vertAlign w:val="superscript"/>
              </w:rPr>
              <w:t>(3)</w:t>
            </w:r>
          </w:p>
        </w:tc>
        <w:tc>
          <w:tcPr>
            <w:tcW w:w="600" w:type="dxa"/>
            <w:vAlign w:val="bottom"/>
            <w:tcBorders>
              <w:bottom w:val="single" w:sz="8" w:color="auto"/>
            </w:tcBorders>
            <w:gridSpan w:val="2"/>
            <w:shd w:val="clear" w:color="auto" w:fill="F2F7FE"/>
          </w:tcPr>
          <w:p>
            <w:pPr>
              <w:jc w:val="right"/>
              <w:ind w:right="80"/>
              <w:spacing w:after="0"/>
              <w:rPr>
                <w:sz w:val="20"/>
                <w:szCs w:val="20"/>
                <w:color w:val="auto"/>
              </w:rPr>
            </w:pPr>
            <w:r>
              <w:rPr>
                <w:rFonts w:ascii="Arial" w:cs="Arial" w:eastAsia="Arial" w:hAnsi="Arial"/>
                <w:sz w:val="10"/>
                <w:szCs w:val="10"/>
                <w:color w:val="auto"/>
              </w:rPr>
              <w:t>6,564</w:t>
            </w:r>
          </w:p>
        </w:tc>
        <w:tc>
          <w:tcPr>
            <w:tcW w:w="960" w:type="dxa"/>
            <w:vAlign w:val="bottom"/>
            <w:tcBorders>
              <w:bottom w:val="single" w:sz="8" w:color="auto"/>
            </w:tcBorders>
            <w:shd w:val="clear" w:color="auto" w:fill="F2F7FE"/>
          </w:tcPr>
          <w:p>
            <w:pPr>
              <w:spacing w:after="0"/>
              <w:rPr>
                <w:sz w:val="11"/>
                <w:szCs w:val="11"/>
                <w:color w:val="auto"/>
              </w:rPr>
            </w:pPr>
          </w:p>
        </w:tc>
        <w:tc>
          <w:tcPr>
            <w:tcW w:w="780" w:type="dxa"/>
            <w:vAlign w:val="bottom"/>
            <w:tcBorders>
              <w:bottom w:val="single" w:sz="8" w:color="auto"/>
            </w:tcBorders>
            <w:shd w:val="clear" w:color="auto" w:fill="F2F7FE"/>
          </w:tcPr>
          <w:p>
            <w:pPr>
              <w:jc w:val="right"/>
              <w:spacing w:after="0"/>
              <w:rPr>
                <w:sz w:val="20"/>
                <w:szCs w:val="20"/>
                <w:color w:val="auto"/>
              </w:rPr>
            </w:pPr>
            <w:r>
              <w:rPr>
                <w:rFonts w:ascii="Arial" w:cs="Arial" w:eastAsia="Arial" w:hAnsi="Arial"/>
                <w:sz w:val="10"/>
                <w:szCs w:val="10"/>
                <w:color w:val="auto"/>
              </w:rPr>
              <w:t>335,092</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62" w:hanging="162"/>
        <w:spacing w:after="0"/>
        <w:tabs>
          <w:tab w:leader="none" w:pos="162" w:val="left"/>
        </w:tabs>
        <w:numPr>
          <w:ilvl w:val="0"/>
          <w:numId w:val="72"/>
        </w:numPr>
        <w:rPr>
          <w:rFonts w:ascii="Arial" w:cs="Arial" w:eastAsia="Arial" w:hAnsi="Arial"/>
          <w:sz w:val="10"/>
          <w:szCs w:val="10"/>
          <w:color w:val="auto"/>
        </w:rPr>
      </w:pPr>
      <w:r>
        <w:rPr>
          <w:rFonts w:ascii="Arial" w:cs="Arial" w:eastAsia="Arial" w:hAnsi="Arial"/>
          <w:sz w:val="10"/>
          <w:szCs w:val="10"/>
          <w:color w:val="auto"/>
        </w:rPr>
        <w:t>These amounts reflect the target and maximum cash incentive bonuses set for 2020. For details of our annual incentive bonus program, see "Compensation Discussion and Analysis — Incentive Bonus" beginning on page 75.</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72"/>
        </w:numPr>
        <w:rPr>
          <w:rFonts w:ascii="Arial" w:cs="Arial" w:eastAsia="Arial" w:hAnsi="Arial"/>
          <w:sz w:val="10"/>
          <w:szCs w:val="10"/>
          <w:color w:val="auto"/>
        </w:rPr>
      </w:pPr>
      <w:r>
        <w:rPr>
          <w:rFonts w:ascii="Arial" w:cs="Arial" w:eastAsia="Arial" w:hAnsi="Arial"/>
          <w:sz w:val="10"/>
          <w:szCs w:val="10"/>
          <w:color w:val="auto"/>
        </w:rPr>
        <w:t>Represents annual awards of Revenue-Linked PRSUs granted under the 2018 Plan, subject to the vesting set forth in footnote 7.</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72"/>
        </w:numPr>
        <w:rPr>
          <w:rFonts w:ascii="Arial" w:cs="Arial" w:eastAsia="Arial" w:hAnsi="Arial"/>
          <w:sz w:val="10"/>
          <w:szCs w:val="10"/>
          <w:color w:val="auto"/>
        </w:rPr>
      </w:pPr>
      <w:r>
        <w:rPr>
          <w:rFonts w:ascii="Arial" w:cs="Arial" w:eastAsia="Arial" w:hAnsi="Arial"/>
          <w:sz w:val="10"/>
          <w:szCs w:val="10"/>
          <w:color w:val="auto"/>
        </w:rPr>
        <w:t>Represents annual awards of Relative TSR-Linked PRSUs granted under the 2018 Plan, subject to the vesting set forth in footnote 7.</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72"/>
        </w:numPr>
        <w:rPr>
          <w:rFonts w:ascii="Arial" w:cs="Arial" w:eastAsia="Arial" w:hAnsi="Arial"/>
          <w:sz w:val="10"/>
          <w:szCs w:val="10"/>
          <w:color w:val="auto"/>
        </w:rPr>
      </w:pPr>
      <w:r>
        <w:rPr>
          <w:rFonts w:ascii="Arial" w:cs="Arial" w:eastAsia="Arial" w:hAnsi="Arial"/>
          <w:sz w:val="10"/>
          <w:szCs w:val="10"/>
          <w:color w:val="auto"/>
        </w:rPr>
        <w:t>Represents annual awards of restricted stock units granted under the 2018 Plan, subject to the vesting set forth in footnote 7.</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72"/>
        </w:numPr>
        <w:rPr>
          <w:rFonts w:ascii="Arial" w:cs="Arial" w:eastAsia="Arial" w:hAnsi="Arial"/>
          <w:sz w:val="10"/>
          <w:szCs w:val="10"/>
          <w:color w:val="auto"/>
        </w:rPr>
      </w:pPr>
      <w:r>
        <w:rPr>
          <w:rFonts w:ascii="Arial" w:cs="Arial" w:eastAsia="Arial" w:hAnsi="Arial"/>
          <w:sz w:val="10"/>
          <w:szCs w:val="10"/>
          <w:color w:val="auto"/>
        </w:rPr>
        <w:t>Represents one time joining award of restricted stock units granted under the 2018 Plan, subject to the vesting set forth in footnote 7.</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72"/>
        </w:numPr>
        <w:rPr>
          <w:rFonts w:ascii="Arial" w:cs="Arial" w:eastAsia="Arial" w:hAnsi="Arial"/>
          <w:sz w:val="10"/>
          <w:szCs w:val="10"/>
          <w:color w:val="auto"/>
        </w:rPr>
      </w:pPr>
      <w:r>
        <w:rPr>
          <w:rFonts w:ascii="Arial" w:cs="Arial" w:eastAsia="Arial" w:hAnsi="Arial"/>
          <w:sz w:val="10"/>
          <w:szCs w:val="10"/>
          <w:color w:val="auto"/>
        </w:rPr>
        <w:t>The grant date fair value of the estimated future payouts for the Relative TSR-Linked PRSUs are based on the Monte Carlo value.</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72"/>
        </w:numPr>
        <w:rPr>
          <w:rFonts w:ascii="Arial" w:cs="Arial" w:eastAsia="Arial" w:hAnsi="Arial"/>
          <w:sz w:val="10"/>
          <w:szCs w:val="10"/>
          <w:color w:val="auto"/>
        </w:rPr>
      </w:pPr>
      <w:r>
        <w:rPr>
          <w:rFonts w:ascii="Arial" w:cs="Arial" w:eastAsia="Arial" w:hAnsi="Arial"/>
          <w:sz w:val="10"/>
          <w:szCs w:val="10"/>
          <w:color w:val="auto"/>
        </w:rPr>
        <w:t>The vesting schedules of the stock grants mentioned in the table are as follows for each named executive officer (subject to continued employment through each applicable vesting date).</w:t>
      </w:r>
    </w:p>
    <w:p>
      <w:pPr>
        <w:spacing w:after="0" w:line="140" w:lineRule="exact"/>
        <w:rPr>
          <w:sz w:val="20"/>
          <w:szCs w:val="20"/>
          <w:color w:val="auto"/>
        </w:rPr>
      </w:pPr>
    </w:p>
    <w:tbl>
      <w:tblPr>
        <w:tblLayout w:type="fixed"/>
        <w:tblInd w:w="1122" w:type="dxa"/>
        <w:tblCellMar>
          <w:top w:w="0" w:type="dxa"/>
          <w:left w:w="0" w:type="dxa"/>
          <w:bottom w:w="0" w:type="dxa"/>
          <w:right w:w="0" w:type="dxa"/>
        </w:tblCellMar>
      </w:tblPr>
      <w:tr>
        <w:trPr>
          <w:trHeight w:val="169"/>
        </w:trPr>
        <w:tc>
          <w:tcPr>
            <w:tcW w:w="1680" w:type="dxa"/>
            <w:vAlign w:val="bottom"/>
            <w:tcBorders>
              <w:bottom w:val="single" w:sz="8" w:color="479EFF"/>
            </w:tcBorders>
          </w:tcPr>
          <w:p>
            <w:pPr>
              <w:ind w:left="440"/>
              <w:spacing w:after="0"/>
              <w:rPr>
                <w:sz w:val="20"/>
                <w:szCs w:val="20"/>
                <w:color w:val="auto"/>
              </w:rPr>
            </w:pPr>
            <w:r>
              <w:rPr>
                <w:rFonts w:ascii="Arial" w:cs="Arial" w:eastAsia="Arial" w:hAnsi="Arial"/>
                <w:sz w:val="13"/>
                <w:szCs w:val="13"/>
                <w:b w:val="1"/>
                <w:bCs w:val="1"/>
                <w:color w:val="479EFF"/>
              </w:rPr>
              <w:t>Grant Date</w:t>
            </w:r>
          </w:p>
        </w:tc>
        <w:tc>
          <w:tcPr>
            <w:tcW w:w="2860" w:type="dxa"/>
            <w:vAlign w:val="bottom"/>
            <w:tcBorders>
              <w:bottom w:val="single" w:sz="8" w:color="479EFF"/>
            </w:tcBorders>
          </w:tcPr>
          <w:p>
            <w:pPr>
              <w:jc w:val="center"/>
              <w:ind w:right="557"/>
              <w:spacing w:after="0"/>
              <w:rPr>
                <w:sz w:val="20"/>
                <w:szCs w:val="20"/>
                <w:color w:val="auto"/>
              </w:rPr>
            </w:pPr>
            <w:r>
              <w:rPr>
                <w:rFonts w:ascii="Arial" w:cs="Arial" w:eastAsia="Arial" w:hAnsi="Arial"/>
                <w:sz w:val="13"/>
                <w:szCs w:val="13"/>
                <w:b w:val="1"/>
                <w:bCs w:val="1"/>
                <w:color w:val="479EFF"/>
                <w:w w:val="96"/>
              </w:rPr>
              <w:t>Vesting Start Date</w:t>
            </w:r>
          </w:p>
        </w:tc>
        <w:tc>
          <w:tcPr>
            <w:tcW w:w="4560" w:type="dxa"/>
            <w:vAlign w:val="bottom"/>
            <w:tcBorders>
              <w:bottom w:val="single" w:sz="8" w:color="479EFF"/>
            </w:tcBorders>
          </w:tcPr>
          <w:p>
            <w:pPr>
              <w:jc w:val="center"/>
              <w:ind w:right="417"/>
              <w:spacing w:after="0"/>
              <w:rPr>
                <w:sz w:val="20"/>
                <w:szCs w:val="20"/>
                <w:color w:val="auto"/>
              </w:rPr>
            </w:pPr>
            <w:r>
              <w:rPr>
                <w:rFonts w:ascii="Arial" w:cs="Arial" w:eastAsia="Arial" w:hAnsi="Arial"/>
                <w:sz w:val="13"/>
                <w:szCs w:val="13"/>
                <w:b w:val="1"/>
                <w:bCs w:val="1"/>
                <w:color w:val="479EFF"/>
                <w:w w:val="95"/>
              </w:rPr>
              <w:t>Vesting Schedule</w:t>
            </w:r>
          </w:p>
        </w:tc>
      </w:tr>
      <w:tr>
        <w:trPr>
          <w:trHeight w:val="148"/>
        </w:trPr>
        <w:tc>
          <w:tcPr>
            <w:tcW w:w="1680" w:type="dxa"/>
            <w:vAlign w:val="bottom"/>
          </w:tcPr>
          <w:p>
            <w:pPr>
              <w:spacing w:after="0" w:line="148" w:lineRule="exact"/>
              <w:rPr>
                <w:sz w:val="20"/>
                <w:szCs w:val="20"/>
                <w:color w:val="auto"/>
              </w:rPr>
            </w:pPr>
            <w:r>
              <w:rPr>
                <w:rFonts w:ascii="Arial" w:cs="Arial" w:eastAsia="Arial" w:hAnsi="Arial"/>
                <w:sz w:val="13"/>
                <w:szCs w:val="13"/>
                <w:b w:val="1"/>
                <w:bCs w:val="1"/>
                <w:color w:val="auto"/>
              </w:rPr>
              <w:t>2/19/2020</w:t>
            </w:r>
          </w:p>
        </w:tc>
        <w:tc>
          <w:tcPr>
            <w:tcW w:w="2860" w:type="dxa"/>
            <w:vAlign w:val="bottom"/>
          </w:tcPr>
          <w:p>
            <w:pPr>
              <w:jc w:val="center"/>
              <w:ind w:right="557"/>
              <w:spacing w:after="0" w:line="148" w:lineRule="exact"/>
              <w:rPr>
                <w:sz w:val="20"/>
                <w:szCs w:val="20"/>
                <w:color w:val="auto"/>
              </w:rPr>
            </w:pPr>
            <w:r>
              <w:rPr>
                <w:rFonts w:ascii="Arial" w:cs="Arial" w:eastAsia="Arial" w:hAnsi="Arial"/>
                <w:sz w:val="13"/>
                <w:szCs w:val="13"/>
                <w:color w:val="auto"/>
                <w:w w:val="96"/>
              </w:rPr>
              <w:t>2/19/2020</w:t>
            </w:r>
          </w:p>
        </w:tc>
        <w:tc>
          <w:tcPr>
            <w:tcW w:w="4560" w:type="dxa"/>
            <w:vAlign w:val="bottom"/>
          </w:tcPr>
          <w:p>
            <w:pPr>
              <w:jc w:val="center"/>
              <w:ind w:right="417"/>
              <w:spacing w:after="0" w:line="148" w:lineRule="exact"/>
              <w:rPr>
                <w:sz w:val="20"/>
                <w:szCs w:val="20"/>
                <w:color w:val="auto"/>
              </w:rPr>
            </w:pPr>
            <w:r>
              <w:rPr>
                <w:rFonts w:ascii="Arial" w:cs="Arial" w:eastAsia="Arial" w:hAnsi="Arial"/>
                <w:sz w:val="13"/>
                <w:szCs w:val="13"/>
                <w:color w:val="auto"/>
                <w:w w:val="97"/>
              </w:rPr>
              <w:t>Revenue Linked PRSUs:</w:t>
            </w:r>
          </w:p>
        </w:tc>
      </w:tr>
      <w:tr>
        <w:trPr>
          <w:trHeight w:val="144"/>
        </w:trPr>
        <w:tc>
          <w:tcPr>
            <w:tcW w:w="16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4560" w:type="dxa"/>
            <w:vAlign w:val="bottom"/>
            <w:tcBorders>
              <w:bottom w:val="single" w:sz="8" w:color="auto"/>
            </w:tcBorders>
          </w:tcPr>
          <w:p>
            <w:pPr>
              <w:jc w:val="center"/>
              <w:ind w:right="417"/>
              <w:spacing w:after="0" w:line="144" w:lineRule="exact"/>
              <w:rPr>
                <w:sz w:val="20"/>
                <w:szCs w:val="20"/>
                <w:color w:val="auto"/>
              </w:rPr>
            </w:pPr>
            <w:r>
              <w:rPr>
                <w:rFonts w:ascii="Arial" w:cs="Arial" w:eastAsia="Arial" w:hAnsi="Arial"/>
                <w:sz w:val="13"/>
                <w:szCs w:val="13"/>
                <w:color w:val="auto"/>
                <w:w w:val="97"/>
              </w:rPr>
              <w:t>100% vesting on 12/31/2022</w:t>
            </w:r>
          </w:p>
        </w:tc>
      </w:tr>
      <w:tr>
        <w:trPr>
          <w:trHeight w:val="138"/>
        </w:trPr>
        <w:tc>
          <w:tcPr>
            <w:tcW w:w="1680" w:type="dxa"/>
            <w:vAlign w:val="bottom"/>
          </w:tcPr>
          <w:p>
            <w:pPr>
              <w:spacing w:after="0" w:line="138" w:lineRule="exact"/>
              <w:rPr>
                <w:sz w:val="20"/>
                <w:szCs w:val="20"/>
                <w:color w:val="auto"/>
              </w:rPr>
            </w:pPr>
            <w:r>
              <w:rPr>
                <w:rFonts w:ascii="Arial" w:cs="Arial" w:eastAsia="Arial" w:hAnsi="Arial"/>
                <w:sz w:val="13"/>
                <w:szCs w:val="13"/>
                <w:b w:val="1"/>
                <w:bCs w:val="1"/>
                <w:color w:val="auto"/>
              </w:rPr>
              <w:t>2/19/2020</w:t>
            </w:r>
          </w:p>
        </w:tc>
        <w:tc>
          <w:tcPr>
            <w:tcW w:w="2860" w:type="dxa"/>
            <w:vAlign w:val="bottom"/>
          </w:tcPr>
          <w:p>
            <w:pPr>
              <w:jc w:val="center"/>
              <w:ind w:right="557"/>
              <w:spacing w:after="0" w:line="138" w:lineRule="exact"/>
              <w:rPr>
                <w:sz w:val="20"/>
                <w:szCs w:val="20"/>
                <w:color w:val="auto"/>
              </w:rPr>
            </w:pPr>
            <w:r>
              <w:rPr>
                <w:rFonts w:ascii="Arial" w:cs="Arial" w:eastAsia="Arial" w:hAnsi="Arial"/>
                <w:sz w:val="13"/>
                <w:szCs w:val="13"/>
                <w:color w:val="auto"/>
                <w:w w:val="96"/>
              </w:rPr>
              <w:t>2/19/2020</w:t>
            </w:r>
          </w:p>
        </w:tc>
        <w:tc>
          <w:tcPr>
            <w:tcW w:w="4560" w:type="dxa"/>
            <w:vAlign w:val="bottom"/>
          </w:tcPr>
          <w:p>
            <w:pPr>
              <w:jc w:val="center"/>
              <w:ind w:right="417"/>
              <w:spacing w:after="0" w:line="138" w:lineRule="exact"/>
              <w:rPr>
                <w:sz w:val="20"/>
                <w:szCs w:val="20"/>
                <w:color w:val="auto"/>
              </w:rPr>
            </w:pPr>
            <w:r>
              <w:rPr>
                <w:rFonts w:ascii="Arial" w:cs="Arial" w:eastAsia="Arial" w:hAnsi="Arial"/>
                <w:sz w:val="13"/>
                <w:szCs w:val="13"/>
                <w:color w:val="auto"/>
                <w:w w:val="96"/>
              </w:rPr>
              <w:t>Relative TSR-Linked PRSUs:</w:t>
            </w:r>
          </w:p>
        </w:tc>
      </w:tr>
      <w:tr>
        <w:trPr>
          <w:trHeight w:val="144"/>
        </w:trPr>
        <w:tc>
          <w:tcPr>
            <w:tcW w:w="16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4560" w:type="dxa"/>
            <w:vAlign w:val="bottom"/>
            <w:tcBorders>
              <w:bottom w:val="single" w:sz="8" w:color="auto"/>
            </w:tcBorders>
          </w:tcPr>
          <w:p>
            <w:pPr>
              <w:jc w:val="center"/>
              <w:ind w:right="417"/>
              <w:spacing w:after="0" w:line="144" w:lineRule="exact"/>
              <w:rPr>
                <w:sz w:val="20"/>
                <w:szCs w:val="20"/>
                <w:color w:val="auto"/>
              </w:rPr>
            </w:pPr>
            <w:r>
              <w:rPr>
                <w:rFonts w:ascii="Arial" w:cs="Arial" w:eastAsia="Arial" w:hAnsi="Arial"/>
                <w:sz w:val="13"/>
                <w:szCs w:val="13"/>
                <w:color w:val="auto"/>
                <w:w w:val="97"/>
              </w:rPr>
              <w:t>100% vesting on 12/31/2022</w:t>
            </w:r>
          </w:p>
        </w:tc>
      </w:tr>
      <w:tr>
        <w:trPr>
          <w:trHeight w:val="138"/>
        </w:trPr>
        <w:tc>
          <w:tcPr>
            <w:tcW w:w="1680" w:type="dxa"/>
            <w:vAlign w:val="bottom"/>
          </w:tcPr>
          <w:p>
            <w:pPr>
              <w:spacing w:after="0" w:line="138" w:lineRule="exact"/>
              <w:rPr>
                <w:sz w:val="20"/>
                <w:szCs w:val="20"/>
                <w:color w:val="auto"/>
              </w:rPr>
            </w:pPr>
            <w:r>
              <w:rPr>
                <w:rFonts w:ascii="Arial" w:cs="Arial" w:eastAsia="Arial" w:hAnsi="Arial"/>
                <w:sz w:val="10"/>
                <w:szCs w:val="10"/>
                <w:b w:val="1"/>
                <w:bCs w:val="1"/>
                <w:color w:val="auto"/>
              </w:rPr>
              <w:t>2/19/2020</w:t>
            </w:r>
            <w:r>
              <w:rPr>
                <w:rFonts w:ascii="Arial" w:cs="Arial" w:eastAsia="Arial" w:hAnsi="Arial"/>
                <w:sz w:val="15"/>
                <w:szCs w:val="15"/>
                <w:color w:val="auto"/>
                <w:vertAlign w:val="superscript"/>
              </w:rPr>
              <w:t>(1)(2)</w:t>
            </w:r>
          </w:p>
        </w:tc>
        <w:tc>
          <w:tcPr>
            <w:tcW w:w="2860" w:type="dxa"/>
            <w:vAlign w:val="bottom"/>
          </w:tcPr>
          <w:p>
            <w:pPr>
              <w:jc w:val="center"/>
              <w:ind w:right="557"/>
              <w:spacing w:after="0" w:line="138" w:lineRule="exact"/>
              <w:rPr>
                <w:sz w:val="20"/>
                <w:szCs w:val="20"/>
                <w:color w:val="auto"/>
              </w:rPr>
            </w:pPr>
            <w:r>
              <w:rPr>
                <w:rFonts w:ascii="Arial" w:cs="Arial" w:eastAsia="Arial" w:hAnsi="Arial"/>
                <w:sz w:val="13"/>
                <w:szCs w:val="13"/>
                <w:color w:val="auto"/>
                <w:w w:val="96"/>
              </w:rPr>
              <w:t>2/19/2020</w:t>
            </w:r>
          </w:p>
        </w:tc>
        <w:tc>
          <w:tcPr>
            <w:tcW w:w="4560" w:type="dxa"/>
            <w:vAlign w:val="bottom"/>
          </w:tcPr>
          <w:p>
            <w:pPr>
              <w:jc w:val="center"/>
              <w:ind w:right="417"/>
              <w:spacing w:after="0" w:line="138" w:lineRule="exact"/>
              <w:rPr>
                <w:sz w:val="20"/>
                <w:szCs w:val="20"/>
                <w:color w:val="auto"/>
              </w:rPr>
            </w:pPr>
            <w:r>
              <w:rPr>
                <w:rFonts w:ascii="Arial" w:cs="Arial" w:eastAsia="Arial" w:hAnsi="Arial"/>
                <w:sz w:val="13"/>
                <w:szCs w:val="13"/>
                <w:color w:val="auto"/>
                <w:w w:val="97"/>
              </w:rPr>
              <w:t>Restricted Stock Units: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1828165</wp:posOffset>
            </wp:positionH>
            <wp:positionV relativeFrom="paragraph">
              <wp:posOffset>-476250</wp:posOffset>
            </wp:positionV>
            <wp:extent cx="6350" cy="5683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350" cy="568325"/>
                    </a:xfrm>
                    <a:prstGeom prst="rect">
                      <a:avLst/>
                    </a:prstGeom>
                    <a:noFill/>
                  </pic:spPr>
                </pic:pic>
              </a:graphicData>
            </a:graphic>
          </wp:anchor>
        </w:drawing>
        <w:drawing>
          <wp:anchor simplePos="0" relativeHeight="251657728" behindDoc="1" locked="0" layoutInCell="0" allowOverlap="1">
            <wp:simplePos x="0" y="0"/>
            <wp:positionH relativeFrom="column">
              <wp:posOffset>3205480</wp:posOffset>
            </wp:positionH>
            <wp:positionV relativeFrom="paragraph">
              <wp:posOffset>-476250</wp:posOffset>
            </wp:positionV>
            <wp:extent cx="6350" cy="5683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350" cy="568325"/>
                    </a:xfrm>
                    <a:prstGeom prst="rect">
                      <a:avLst/>
                    </a:prstGeom>
                    <a:noFill/>
                  </pic:spPr>
                </pic:pic>
              </a:graphicData>
            </a:graphic>
          </wp:anchor>
        </w:drawing>
      </w:r>
    </w:p>
    <w:p>
      <w:pPr>
        <w:ind w:left="6602"/>
        <w:spacing w:after="0"/>
        <w:rPr>
          <w:sz w:val="20"/>
          <w:szCs w:val="20"/>
          <w:color w:val="auto"/>
        </w:rPr>
      </w:pPr>
      <w:r>
        <w:rPr>
          <w:rFonts w:ascii="Arial" w:cs="Arial" w:eastAsia="Arial" w:hAnsi="Arial"/>
          <w:sz w:val="13"/>
          <w:szCs w:val="13"/>
          <w:color w:val="auto"/>
        </w:rPr>
        <w:t>Vesting over 4 years — 25%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-3175</wp:posOffset>
            </wp:positionV>
            <wp:extent cx="5774690" cy="18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774690" cy="18415"/>
                    </a:xfrm>
                    <a:prstGeom prst="rect">
                      <a:avLst/>
                    </a:prstGeom>
                    <a:noFill/>
                  </pic:spPr>
                </pic:pic>
              </a:graphicData>
            </a:graphic>
          </wp:anchor>
        </w:drawing>
      </w:r>
    </w:p>
    <w:p>
      <w:pPr>
        <w:spacing w:after="0" w:line="162" w:lineRule="exact"/>
        <w:rPr>
          <w:sz w:val="20"/>
          <w:szCs w:val="20"/>
          <w:color w:val="auto"/>
        </w:rPr>
      </w:pPr>
    </w:p>
    <w:p>
      <w:pPr>
        <w:ind w:left="162" w:hanging="162"/>
        <w:spacing w:after="0"/>
        <w:tabs>
          <w:tab w:leader="none" w:pos="162" w:val="left"/>
        </w:tabs>
        <w:numPr>
          <w:ilvl w:val="0"/>
          <w:numId w:val="73"/>
        </w:numPr>
        <w:rPr>
          <w:rFonts w:ascii="Arial" w:cs="Arial" w:eastAsia="Arial" w:hAnsi="Arial"/>
          <w:sz w:val="10"/>
          <w:szCs w:val="10"/>
          <w:color w:val="auto"/>
        </w:rPr>
      </w:pPr>
      <w:r>
        <w:rPr>
          <w:rFonts w:ascii="Arial" w:cs="Arial" w:eastAsia="Arial" w:hAnsi="Arial"/>
          <w:sz w:val="10"/>
          <w:szCs w:val="10"/>
          <w:color w:val="auto"/>
        </w:rPr>
        <w:t>The grant date and vesting start date for Mr. Kapoor's annual equity award was February 20, 2020.</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73"/>
        </w:numPr>
        <w:rPr>
          <w:rFonts w:ascii="Arial" w:cs="Arial" w:eastAsia="Arial" w:hAnsi="Arial"/>
          <w:sz w:val="10"/>
          <w:szCs w:val="10"/>
          <w:color w:val="auto"/>
        </w:rPr>
      </w:pPr>
      <w:r>
        <w:rPr>
          <w:rFonts w:ascii="Arial" w:cs="Arial" w:eastAsia="Arial" w:hAnsi="Arial"/>
          <w:sz w:val="10"/>
          <w:szCs w:val="10"/>
          <w:color w:val="auto"/>
        </w:rPr>
        <w:t>The grant date and vesting start date for Mr. Nicolelli's one-time joining awards was February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1408430" cy="3333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2"/>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241300</wp:posOffset>
            </wp:positionV>
            <wp:extent cx="7177405" cy="19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182"/>
          </w:cols>
          <w:pgMar w:left="298" w:top="142" w:right="419" w:bottom="1440" w:gutter="0" w:footer="0" w:header="0"/>
        </w:sectPr>
      </w:pPr>
    </w:p>
    <w:bookmarkStart w:id="89" w:name="page90"/>
    <w:bookmarkEnd w:id="8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Employment Agreements</w:t>
      </w:r>
    </w:p>
    <w:p>
      <w:pPr>
        <w:spacing w:after="0" w:line="168" w:lineRule="exact"/>
        <w:rPr>
          <w:sz w:val="20"/>
          <w:szCs w:val="20"/>
          <w:color w:val="auto"/>
        </w:rPr>
      </w:pPr>
    </w:p>
    <w:p>
      <w:pPr>
        <w:ind w:right="220"/>
        <w:spacing w:after="0" w:line="239" w:lineRule="auto"/>
        <w:rPr>
          <w:sz w:val="20"/>
          <w:szCs w:val="20"/>
          <w:color w:val="auto"/>
        </w:rPr>
      </w:pPr>
      <w:r>
        <w:rPr>
          <w:rFonts w:ascii="Arial" w:cs="Arial" w:eastAsia="Arial" w:hAnsi="Arial"/>
          <w:sz w:val="13"/>
          <w:szCs w:val="13"/>
          <w:color w:val="auto"/>
        </w:rPr>
        <w:t>In addition to the terms described below, the employment and severance agreements for each of our named executive officers include severance, termination and/or noncompetition provisions, which are described below under "Potential Payments upon Termination or Change in Control at Fiscal 2020 Year-End" beginning on page 93.</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Rohit Kapoor</w:t>
      </w:r>
    </w:p>
    <w:p>
      <w:pPr>
        <w:spacing w:after="0" w:line="168" w:lineRule="exact"/>
        <w:rPr>
          <w:sz w:val="20"/>
          <w:szCs w:val="20"/>
          <w:color w:val="auto"/>
        </w:rPr>
      </w:pPr>
    </w:p>
    <w:p>
      <w:pPr>
        <w:ind w:right="80"/>
        <w:spacing w:after="0" w:line="235" w:lineRule="auto"/>
        <w:rPr>
          <w:sz w:val="20"/>
          <w:szCs w:val="20"/>
          <w:color w:val="auto"/>
        </w:rPr>
      </w:pPr>
      <w:r>
        <w:rPr>
          <w:rFonts w:ascii="Arial" w:cs="Arial" w:eastAsia="Arial" w:hAnsi="Arial"/>
          <w:sz w:val="13"/>
          <w:szCs w:val="13"/>
          <w:color w:val="auto"/>
        </w:rPr>
        <w:t>Mr. Kapoor serves as our Vice Chairman and CEO, and is based at our executive offices in New York, New York. Our engagement of Mr. Kapoor has been under the terms of employment agreements for over 15 years. On September 19, 2017, we entered into an amended and restated employment agreement with Mr. Kapoor that became effective on January 1, 2018 (the "Prior Kapoor Agreement"). The Prior Kapoor Agreement provided for an initial term from January 1, 2018 until December 31, 2020, and automatically renewed for successive one-year periods unless terminated with 120 days' prior notice. In light of the impending expiration of the initial term of the Prior Kapoor Agreement, the Company entered into a second amended and restated employment agreement with Mr. Kapoor dated and effective as of August 3, 2020 (the "Amended Kapoor Agreement"). The Amended Kapoor Agreement provides for an employment term that extends until Mr. Kapoor's termination or resignation. Unless otherwise noted, the summary below describes the terms of both the Prior Kapoor Agreement and the Amended Kapoor Agreement.</w:t>
      </w:r>
    </w:p>
    <w:p>
      <w:pPr>
        <w:spacing w:after="0" w:line="137" w:lineRule="exact"/>
        <w:rPr>
          <w:sz w:val="20"/>
          <w:szCs w:val="20"/>
          <w:color w:val="auto"/>
        </w:rPr>
      </w:pPr>
    </w:p>
    <w:p>
      <w:pPr>
        <w:ind w:left="780" w:hanging="393"/>
        <w:spacing w:after="0"/>
        <w:tabs>
          <w:tab w:leader="none" w:pos="780" w:val="left"/>
        </w:tabs>
        <w:numPr>
          <w:ilvl w:val="0"/>
          <w:numId w:val="74"/>
        </w:numPr>
        <w:rPr>
          <w:rFonts w:ascii="Arial" w:cs="Arial" w:eastAsia="Arial" w:hAnsi="Arial"/>
          <w:sz w:val="13"/>
          <w:szCs w:val="13"/>
          <w:color w:val="FF4000"/>
        </w:rPr>
      </w:pPr>
      <w:r>
        <w:rPr>
          <w:rFonts w:ascii="Arial" w:cs="Arial" w:eastAsia="Arial" w:hAnsi="Arial"/>
          <w:sz w:val="13"/>
          <w:szCs w:val="13"/>
          <w:b w:val="1"/>
          <w:bCs w:val="1"/>
          <w:color w:val="auto"/>
        </w:rPr>
        <w:t>Salary, Bonus and Equity:</w:t>
      </w:r>
    </w:p>
    <w:p>
      <w:pPr>
        <w:spacing w:after="0" w:line="12" w:lineRule="exact"/>
        <w:rPr>
          <w:rFonts w:ascii="Arial" w:cs="Arial" w:eastAsia="Arial" w:hAnsi="Arial"/>
          <w:sz w:val="13"/>
          <w:szCs w:val="13"/>
          <w:color w:val="FF4000"/>
        </w:rPr>
      </w:pPr>
    </w:p>
    <w:p>
      <w:pPr>
        <w:ind w:left="780" w:right="120"/>
        <w:spacing w:after="0" w:line="239" w:lineRule="auto"/>
        <w:rPr>
          <w:rFonts w:ascii="Arial" w:cs="Arial" w:eastAsia="Arial" w:hAnsi="Arial"/>
          <w:sz w:val="13"/>
          <w:szCs w:val="13"/>
          <w:color w:val="FF4000"/>
        </w:rPr>
      </w:pPr>
      <w:r>
        <w:rPr>
          <w:rFonts w:ascii="Arial" w:cs="Arial" w:eastAsia="Arial" w:hAnsi="Arial"/>
          <w:sz w:val="13"/>
          <w:szCs w:val="13"/>
          <w:color w:val="auto"/>
        </w:rPr>
        <w:t>In 2020, Mr. Kapoor's base salary was increased from $720,000 to $750,000, subject to his 50% base salary reduction and deferment of 2020 increments due to the COVID-19 pandemic, as documented in the Amended Kapoor Agreement.</w:t>
      </w:r>
    </w:p>
    <w:p>
      <w:pPr>
        <w:spacing w:after="0" w:line="149" w:lineRule="exact"/>
        <w:rPr>
          <w:rFonts w:ascii="Arial" w:cs="Arial" w:eastAsia="Arial" w:hAnsi="Arial"/>
          <w:sz w:val="13"/>
          <w:szCs w:val="13"/>
          <w:color w:val="FF4000"/>
        </w:rPr>
      </w:pPr>
    </w:p>
    <w:p>
      <w:pPr>
        <w:ind w:left="780" w:right="40"/>
        <w:spacing w:after="0" w:line="236" w:lineRule="auto"/>
        <w:rPr>
          <w:rFonts w:ascii="Arial" w:cs="Arial" w:eastAsia="Arial" w:hAnsi="Arial"/>
          <w:sz w:val="13"/>
          <w:szCs w:val="13"/>
          <w:color w:val="FF4000"/>
        </w:rPr>
      </w:pPr>
      <w:r>
        <w:rPr>
          <w:rFonts w:ascii="Arial" w:cs="Arial" w:eastAsia="Arial" w:hAnsi="Arial"/>
          <w:sz w:val="13"/>
          <w:szCs w:val="13"/>
          <w:color w:val="auto"/>
        </w:rPr>
        <w:t>Mr. Kapoor's base salary can be increased at our sole discretion and cannot be decreased unless a Company-wide decrease in pay is implemented. Mr. Kapoor can earn an annual cash bonus, with a target of 150% of base salary and a maximum payout of 310% of base salary (326% under the Prior Kapoor Agreement), based upon the attainment of performance criteria determined by our Compensation Committee. Mr. Kapoor remains eligible to receive equity-based awards annually during the term, in amounts and forms determined by the Compensation Committee but with terms no less favorable than his direct reports. Under the Prior Kapoor Agreement, Mr. Kapoor was entitled to vesting terms no less favorable than ratable vesting over four years from the date of grant.</w:t>
      </w:r>
    </w:p>
    <w:p>
      <w:pPr>
        <w:spacing w:after="0" w:line="143" w:lineRule="exact"/>
        <w:rPr>
          <w:rFonts w:ascii="Arial" w:cs="Arial" w:eastAsia="Arial" w:hAnsi="Arial"/>
          <w:sz w:val="13"/>
          <w:szCs w:val="13"/>
          <w:color w:val="FF4000"/>
        </w:rPr>
      </w:pPr>
    </w:p>
    <w:p>
      <w:pPr>
        <w:ind w:left="780" w:hanging="393"/>
        <w:spacing w:after="0"/>
        <w:tabs>
          <w:tab w:leader="none" w:pos="780" w:val="left"/>
        </w:tabs>
        <w:numPr>
          <w:ilvl w:val="0"/>
          <w:numId w:val="74"/>
        </w:numPr>
        <w:rPr>
          <w:rFonts w:ascii="Arial" w:cs="Arial" w:eastAsia="Arial" w:hAnsi="Arial"/>
          <w:sz w:val="13"/>
          <w:szCs w:val="13"/>
          <w:color w:val="FF4000"/>
        </w:rPr>
      </w:pPr>
      <w:r>
        <w:rPr>
          <w:rFonts w:ascii="Arial" w:cs="Arial" w:eastAsia="Arial" w:hAnsi="Arial"/>
          <w:sz w:val="13"/>
          <w:szCs w:val="13"/>
          <w:b w:val="1"/>
          <w:bCs w:val="1"/>
          <w:color w:val="auto"/>
        </w:rPr>
        <w:t>Personal Benefits:</w:t>
      </w:r>
    </w:p>
    <w:p>
      <w:pPr>
        <w:spacing w:after="0" w:line="12" w:lineRule="exact"/>
        <w:rPr>
          <w:rFonts w:ascii="Arial" w:cs="Arial" w:eastAsia="Arial" w:hAnsi="Arial"/>
          <w:sz w:val="13"/>
          <w:szCs w:val="13"/>
          <w:color w:val="FF4000"/>
        </w:rPr>
      </w:pPr>
    </w:p>
    <w:p>
      <w:pPr>
        <w:ind w:left="780" w:right="60"/>
        <w:spacing w:after="0" w:line="236" w:lineRule="auto"/>
        <w:rPr>
          <w:rFonts w:ascii="Arial" w:cs="Arial" w:eastAsia="Arial" w:hAnsi="Arial"/>
          <w:sz w:val="13"/>
          <w:szCs w:val="13"/>
          <w:color w:val="FF4000"/>
        </w:rPr>
      </w:pPr>
      <w:r>
        <w:rPr>
          <w:rFonts w:ascii="Arial" w:cs="Arial" w:eastAsia="Arial" w:hAnsi="Arial"/>
          <w:sz w:val="13"/>
          <w:szCs w:val="13"/>
          <w:color w:val="auto"/>
        </w:rPr>
        <w:t>We provide Mr. Kapoor with certain personal benefits, including certain club memberships, home office supplies, term life insurance policy (with a face value of $500,000), once-a-year business class airfare between the United States and India for the executive and his family, up to $12,000 for personal tax and estate planning expenses, up to $1,400 per month car allowance, up to $12,000 per year for expenses associated with maintaining an automobile in India (including cost of a driver), personal security for the executive and his family while in India, reimbursement for first-class business travel, and a per diem allowance for certain trips. In addition, his employment agreement entitles him to certain other benefits in the event he is relocated to India, but which are not applicable currently as he maintains a U.S. residency.</w:t>
      </w:r>
    </w:p>
    <w:p>
      <w:pPr>
        <w:spacing w:after="0" w:line="150" w:lineRule="exact"/>
        <w:rPr>
          <w:sz w:val="20"/>
          <w:szCs w:val="20"/>
          <w:color w:val="auto"/>
        </w:rPr>
      </w:pPr>
    </w:p>
    <w:p>
      <w:pPr>
        <w:ind w:right="140"/>
        <w:spacing w:after="0" w:line="239" w:lineRule="auto"/>
        <w:rPr>
          <w:sz w:val="20"/>
          <w:szCs w:val="20"/>
          <w:color w:val="auto"/>
        </w:rPr>
      </w:pPr>
      <w:r>
        <w:rPr>
          <w:rFonts w:ascii="Arial" w:cs="Arial" w:eastAsia="Arial" w:hAnsi="Arial"/>
          <w:sz w:val="13"/>
          <w:szCs w:val="13"/>
          <w:color w:val="auto"/>
        </w:rPr>
        <w:t>Mr. Kapoor's employment agreement also includes severance, termination and noncompetition provisions which are described below under "Potential Payments upon Termination or Change in Control at Fiscal 2020 Year-End" beginning on page 93.</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Maurizio Nicolelli</w:t>
      </w:r>
    </w:p>
    <w:p>
      <w:pPr>
        <w:spacing w:after="0" w:line="168" w:lineRule="exact"/>
        <w:rPr>
          <w:sz w:val="20"/>
          <w:szCs w:val="20"/>
          <w:color w:val="auto"/>
        </w:rPr>
      </w:pPr>
    </w:p>
    <w:p>
      <w:pPr>
        <w:ind w:right="280"/>
        <w:spacing w:after="0" w:line="239" w:lineRule="auto"/>
        <w:rPr>
          <w:sz w:val="20"/>
          <w:szCs w:val="20"/>
          <w:color w:val="auto"/>
        </w:rPr>
      </w:pPr>
      <w:r>
        <w:rPr>
          <w:rFonts w:ascii="Arial" w:cs="Arial" w:eastAsia="Arial" w:hAnsi="Arial"/>
          <w:sz w:val="13"/>
          <w:szCs w:val="13"/>
          <w:color w:val="auto"/>
        </w:rPr>
        <w:t>Mr. Nicolelli serves as our Executive Vice President and CFO and is based at our executive offices in New York, New York. We entered into an employment agreement with him, effective February 3, 2020, which will continue throughout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192405</wp:posOffset>
            </wp:positionV>
            <wp:extent cx="1408430" cy="3333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90" w:name="page91"/>
    <w:bookmarkEnd w:id="9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168" w:lineRule="exact"/>
        <w:rPr>
          <w:sz w:val="20"/>
          <w:szCs w:val="20"/>
          <w:color w:val="auto"/>
        </w:rPr>
      </w:pPr>
    </w:p>
    <w:p>
      <w:pPr>
        <w:ind w:right="240"/>
        <w:spacing w:after="0" w:line="239" w:lineRule="auto"/>
        <w:rPr>
          <w:sz w:val="20"/>
          <w:szCs w:val="20"/>
          <w:color w:val="auto"/>
        </w:rPr>
      </w:pPr>
      <w:r>
        <w:rPr>
          <w:rFonts w:ascii="Arial" w:cs="Arial" w:eastAsia="Arial" w:hAnsi="Arial"/>
          <w:sz w:val="13"/>
          <w:szCs w:val="13"/>
          <w:color w:val="auto"/>
        </w:rPr>
        <w:t>Mr. Nicolelli's employment with the Company. In connection with his appointment, Mr. Nicolelli received a joining bonus of $225,000, payable in two installments, and an initial grant of restricted stock units of the Company's common stock with a fair market value of $425,000, which will vest in four equal, annual installments beginning on the first anniversary of the grant date.</w:t>
      </w:r>
    </w:p>
    <w:p>
      <w:pPr>
        <w:spacing w:after="0" w:line="134" w:lineRule="exact"/>
        <w:rPr>
          <w:sz w:val="20"/>
          <w:szCs w:val="20"/>
          <w:color w:val="auto"/>
        </w:rPr>
      </w:pPr>
    </w:p>
    <w:p>
      <w:pPr>
        <w:ind w:left="780" w:hanging="393"/>
        <w:spacing w:after="0"/>
        <w:tabs>
          <w:tab w:leader="none" w:pos="780" w:val="left"/>
        </w:tabs>
        <w:numPr>
          <w:ilvl w:val="0"/>
          <w:numId w:val="75"/>
        </w:numPr>
        <w:rPr>
          <w:rFonts w:ascii="Arial" w:cs="Arial" w:eastAsia="Arial" w:hAnsi="Arial"/>
          <w:sz w:val="13"/>
          <w:szCs w:val="13"/>
          <w:color w:val="FF4000"/>
        </w:rPr>
      </w:pPr>
      <w:r>
        <w:rPr>
          <w:rFonts w:ascii="Arial" w:cs="Arial" w:eastAsia="Arial" w:hAnsi="Arial"/>
          <w:sz w:val="13"/>
          <w:szCs w:val="13"/>
          <w:b w:val="1"/>
          <w:bCs w:val="1"/>
          <w:color w:val="auto"/>
        </w:rPr>
        <w:t>Salary, Bonus and Equity:</w:t>
      </w:r>
    </w:p>
    <w:p>
      <w:pPr>
        <w:spacing w:after="0" w:line="12" w:lineRule="exact"/>
        <w:rPr>
          <w:rFonts w:ascii="Arial" w:cs="Arial" w:eastAsia="Arial" w:hAnsi="Arial"/>
          <w:sz w:val="13"/>
          <w:szCs w:val="13"/>
          <w:color w:val="FF4000"/>
        </w:rPr>
      </w:pPr>
    </w:p>
    <w:p>
      <w:pPr>
        <w:ind w:left="780"/>
        <w:spacing w:after="0" w:line="237" w:lineRule="auto"/>
        <w:rPr>
          <w:rFonts w:ascii="Arial" w:cs="Arial" w:eastAsia="Arial" w:hAnsi="Arial"/>
          <w:sz w:val="13"/>
          <w:szCs w:val="13"/>
          <w:color w:val="FF4000"/>
        </w:rPr>
      </w:pPr>
      <w:r>
        <w:rPr>
          <w:rFonts w:ascii="Arial" w:cs="Arial" w:eastAsia="Arial" w:hAnsi="Arial"/>
          <w:sz w:val="13"/>
          <w:szCs w:val="13"/>
          <w:color w:val="auto"/>
        </w:rPr>
        <w:t>Mr. Nicolelli's base salary was set at $475,000 upon his hire in 2020. In addition, Mr. Nicolelli can earn an annual cash bonus, with a target of 75% of base salary, based upon the attainment of performance criteria determined by our Compensation Committee. Mr. Nicolelli is also eligible, subject to performance and other conditions, to receive annual equity awards at the discretion of the Compensation Committee.</w:t>
      </w:r>
    </w:p>
    <w:p>
      <w:pPr>
        <w:spacing w:after="0" w:line="150" w:lineRule="exact"/>
        <w:rPr>
          <w:sz w:val="20"/>
          <w:szCs w:val="20"/>
          <w:color w:val="auto"/>
        </w:rPr>
      </w:pPr>
    </w:p>
    <w:p>
      <w:pPr>
        <w:ind w:right="260"/>
        <w:spacing w:after="0" w:line="239" w:lineRule="auto"/>
        <w:rPr>
          <w:sz w:val="20"/>
          <w:szCs w:val="20"/>
          <w:color w:val="auto"/>
        </w:rPr>
      </w:pPr>
      <w:r>
        <w:rPr>
          <w:rFonts w:ascii="Arial" w:cs="Arial" w:eastAsia="Arial" w:hAnsi="Arial"/>
          <w:sz w:val="13"/>
          <w:szCs w:val="13"/>
          <w:color w:val="auto"/>
        </w:rPr>
        <w:t>Mr. Nicolelli's agreements also includes severance, termination and noncompetition provisions which are described below under "Potential Payments upon Termination or Change in Control at Fiscal 2020 Year-End" beginning on page 93.</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Pavan Bagai</w:t>
      </w:r>
    </w:p>
    <w:p>
      <w:pPr>
        <w:spacing w:after="0" w:line="168" w:lineRule="exact"/>
        <w:rPr>
          <w:sz w:val="20"/>
          <w:szCs w:val="20"/>
          <w:color w:val="auto"/>
        </w:rPr>
      </w:pPr>
    </w:p>
    <w:p>
      <w:pPr>
        <w:ind w:right="120"/>
        <w:spacing w:after="0" w:line="278" w:lineRule="auto"/>
        <w:rPr>
          <w:sz w:val="20"/>
          <w:szCs w:val="20"/>
          <w:color w:val="auto"/>
        </w:rPr>
      </w:pPr>
      <w:r>
        <w:rPr>
          <w:rFonts w:ascii="Arial" w:cs="Arial" w:eastAsia="Arial" w:hAnsi="Arial"/>
          <w:sz w:val="12"/>
          <w:szCs w:val="12"/>
          <w:color w:val="auto"/>
        </w:rPr>
        <w:t>Mr. Bagai serves as our President and Chief Operating Officer, and is based in Delhi, India. During January 2020, he also served as our interim CFO. We entered into two employment agreements with him, effective July 31, 2002 and August 1, 2002, respectively and a severance letter, effective March 15, 2011, each of which will continue throughout Mr. Bagai's employment with the Company.</w:t>
      </w:r>
    </w:p>
    <w:p>
      <w:pPr>
        <w:spacing w:after="0" w:line="121" w:lineRule="exact"/>
        <w:rPr>
          <w:sz w:val="20"/>
          <w:szCs w:val="20"/>
          <w:color w:val="auto"/>
        </w:rPr>
      </w:pPr>
    </w:p>
    <w:p>
      <w:pPr>
        <w:ind w:left="780" w:hanging="393"/>
        <w:spacing w:after="0"/>
        <w:tabs>
          <w:tab w:leader="none" w:pos="780" w:val="left"/>
        </w:tabs>
        <w:numPr>
          <w:ilvl w:val="0"/>
          <w:numId w:val="76"/>
        </w:numPr>
        <w:rPr>
          <w:rFonts w:ascii="Arial" w:cs="Arial" w:eastAsia="Arial" w:hAnsi="Arial"/>
          <w:sz w:val="13"/>
          <w:szCs w:val="13"/>
          <w:color w:val="FF4000"/>
        </w:rPr>
      </w:pPr>
      <w:r>
        <w:rPr>
          <w:rFonts w:ascii="Arial" w:cs="Arial" w:eastAsia="Arial" w:hAnsi="Arial"/>
          <w:sz w:val="13"/>
          <w:szCs w:val="13"/>
          <w:b w:val="1"/>
          <w:bCs w:val="1"/>
          <w:color w:val="auto"/>
        </w:rPr>
        <w:t>Salary, Bonus and Equity:</w:t>
      </w:r>
    </w:p>
    <w:p>
      <w:pPr>
        <w:spacing w:after="0" w:line="12" w:lineRule="exact"/>
        <w:rPr>
          <w:rFonts w:ascii="Arial" w:cs="Arial" w:eastAsia="Arial" w:hAnsi="Arial"/>
          <w:sz w:val="13"/>
          <w:szCs w:val="13"/>
          <w:color w:val="FF4000"/>
        </w:rPr>
      </w:pPr>
    </w:p>
    <w:p>
      <w:pPr>
        <w:ind w:left="780" w:right="20"/>
        <w:spacing w:after="0" w:line="260" w:lineRule="auto"/>
        <w:rPr>
          <w:rFonts w:ascii="Arial" w:cs="Arial" w:eastAsia="Arial" w:hAnsi="Arial"/>
          <w:sz w:val="13"/>
          <w:szCs w:val="13"/>
          <w:color w:val="FF4000"/>
        </w:rPr>
      </w:pPr>
      <w:r>
        <w:rPr>
          <w:rFonts w:ascii="Arial" w:cs="Arial" w:eastAsia="Arial" w:hAnsi="Arial"/>
          <w:sz w:val="12"/>
          <w:szCs w:val="12"/>
          <w:color w:val="auto"/>
        </w:rPr>
        <w:t>Mr. Bagai's annual fixed compensation, measured in U.S. dollars rather than his home currency of Indian rupees (using an exchange rate of 71.38 INR to 1 USD, which was the exchange rate on December 31, 2020), was decreased to $364,248 effective April 1, 2019. 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163% of annual fixed compensation, based upon the attainment of performance criteria determined by our Compensation Committee. Mr. Bagai is also eligible, subject to performance and other conditions, to receive annual equity awards at the discretion of the Compensation Committee.</w:t>
      </w:r>
    </w:p>
    <w:p>
      <w:pPr>
        <w:spacing w:after="0" w:line="138"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Mr. Bagai's agreements also includes severance, termination and noncompetition provisions which are described below under "Potential Payments upon Termination or Change in Control at Fiscal 2020 Year-End" beginning on page 93.</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Nalin Miglani</w:t>
      </w:r>
    </w:p>
    <w:p>
      <w:pPr>
        <w:spacing w:after="0" w:line="168" w:lineRule="exact"/>
        <w:rPr>
          <w:sz w:val="20"/>
          <w:szCs w:val="20"/>
          <w:color w:val="auto"/>
        </w:rPr>
      </w:pPr>
    </w:p>
    <w:p>
      <w:pPr>
        <w:ind w:right="200"/>
        <w:spacing w:after="0" w:line="239" w:lineRule="auto"/>
        <w:rPr>
          <w:sz w:val="20"/>
          <w:szCs w:val="20"/>
          <w:color w:val="auto"/>
        </w:rPr>
      </w:pPr>
      <w:r>
        <w:rPr>
          <w:rFonts w:ascii="Arial" w:cs="Arial" w:eastAsia="Arial" w:hAnsi="Arial"/>
          <w:sz w:val="13"/>
          <w:szCs w:val="13"/>
          <w:color w:val="auto"/>
        </w:rPr>
        <w:t>Mr. Miglani serves as our Executive Vice President and Chief Human Resources Officer, and is based at our executive offices in New York, New York. We entered into an employment agreement with him, effective December 1, 2014, which will continue throughout Mr. Miglani's employment with the Company.</w:t>
      </w:r>
    </w:p>
    <w:p>
      <w:pPr>
        <w:spacing w:after="0" w:line="134" w:lineRule="exact"/>
        <w:rPr>
          <w:sz w:val="20"/>
          <w:szCs w:val="20"/>
          <w:color w:val="auto"/>
        </w:rPr>
      </w:pPr>
    </w:p>
    <w:p>
      <w:pPr>
        <w:ind w:left="780" w:hanging="393"/>
        <w:spacing w:after="0"/>
        <w:tabs>
          <w:tab w:leader="none" w:pos="780" w:val="left"/>
        </w:tabs>
        <w:numPr>
          <w:ilvl w:val="0"/>
          <w:numId w:val="77"/>
        </w:numPr>
        <w:rPr>
          <w:rFonts w:ascii="Arial" w:cs="Arial" w:eastAsia="Arial" w:hAnsi="Arial"/>
          <w:sz w:val="13"/>
          <w:szCs w:val="13"/>
          <w:color w:val="FF4000"/>
        </w:rPr>
      </w:pPr>
      <w:r>
        <w:rPr>
          <w:rFonts w:ascii="Arial" w:cs="Arial" w:eastAsia="Arial" w:hAnsi="Arial"/>
          <w:sz w:val="13"/>
          <w:szCs w:val="13"/>
          <w:b w:val="1"/>
          <w:bCs w:val="1"/>
          <w:color w:val="auto"/>
        </w:rPr>
        <w:t>Salary, Bonus and Equity:</w:t>
      </w:r>
    </w:p>
    <w:p>
      <w:pPr>
        <w:spacing w:after="0" w:line="12" w:lineRule="exact"/>
        <w:rPr>
          <w:rFonts w:ascii="Arial" w:cs="Arial" w:eastAsia="Arial" w:hAnsi="Arial"/>
          <w:sz w:val="13"/>
          <w:szCs w:val="13"/>
          <w:color w:val="FF4000"/>
        </w:rPr>
      </w:pPr>
    </w:p>
    <w:p>
      <w:pPr>
        <w:ind w:left="780" w:right="20"/>
        <w:spacing w:after="0" w:line="236" w:lineRule="auto"/>
        <w:rPr>
          <w:rFonts w:ascii="Arial" w:cs="Arial" w:eastAsia="Arial" w:hAnsi="Arial"/>
          <w:sz w:val="13"/>
          <w:szCs w:val="13"/>
          <w:color w:val="FF4000"/>
        </w:rPr>
      </w:pPr>
      <w:r>
        <w:rPr>
          <w:rFonts w:ascii="Arial" w:cs="Arial" w:eastAsia="Arial" w:hAnsi="Arial"/>
          <w:sz w:val="13"/>
          <w:szCs w:val="13"/>
          <w:color w:val="auto"/>
        </w:rPr>
        <w:t>Mr. Miglani's base salary was held constant at $450,000 in 2020 but may be increased from time to time by our board of directors. While employed, Mr. Miglani can earn an annual cash bonus, with a target of 75% of base salary and a maximum of 162% of base salary, based upon attainment of performance criteria determined by our Compensation Committee. Mr. Miglani is also eligible, subject to performance and other conditions, to receive annual equity awards at the discretion of the Compensation Committee. Mr. Miglani's employment agreement provided for: (i) an initial equity award of 20,000 restricted stock units that will vest according to the schedule described below under "Outstanding Equity Awards at Fiscal 2020 Year-End" beginning on page 92 and (ii) a one-time joining bonus of $200,000 half of which was paid on the commencement of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91" w:name="page92"/>
    <w:bookmarkEnd w:id="9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840"/>
        <w:spacing w:after="0"/>
        <w:rPr>
          <w:sz w:val="20"/>
          <w:szCs w:val="20"/>
          <w:color w:val="auto"/>
        </w:rPr>
      </w:pPr>
      <w:r>
        <w:rPr>
          <w:rFonts w:ascii="Arial" w:cs="Arial" w:eastAsia="Arial" w:hAnsi="Arial"/>
          <w:sz w:val="10"/>
          <w:szCs w:val="10"/>
          <w:b w:val="1"/>
          <w:bCs w:val="1"/>
          <w:color w:val="CCD9D9"/>
        </w:rPr>
        <w:t>EXECUTIVE COMPENSATION</w:t>
      </w:r>
    </w:p>
    <w:p>
      <w:pPr>
        <w:spacing w:after="0" w:line="168" w:lineRule="exact"/>
        <w:rPr>
          <w:sz w:val="20"/>
          <w:szCs w:val="20"/>
          <w:color w:val="auto"/>
        </w:rPr>
      </w:pPr>
    </w:p>
    <w:p>
      <w:pPr>
        <w:ind w:left="780" w:right="200"/>
        <w:spacing w:after="0" w:line="239" w:lineRule="auto"/>
        <w:rPr>
          <w:sz w:val="20"/>
          <w:szCs w:val="20"/>
          <w:color w:val="auto"/>
        </w:rPr>
      </w:pPr>
      <w:r>
        <w:rPr>
          <w:rFonts w:ascii="Arial" w:cs="Arial" w:eastAsia="Arial" w:hAnsi="Arial"/>
          <w:sz w:val="13"/>
          <w:szCs w:val="13"/>
          <w:color w:val="auto"/>
        </w:rPr>
        <w:t>and the other half paid in March 2015, based on his continued service with the Company. Mr. Miglani received $100,000 in connection with his relocation from Amsterdam to New York in 2014.</w:t>
      </w:r>
    </w:p>
    <w:p>
      <w:pPr>
        <w:spacing w:after="0" w:line="150"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Mr. Miglani's employment agreement also includes severance, termination and noncompetition provisions which are described below under "Potential Payments upon Termination or Change in Control at Fiscal 2020 Year-End" beginning on page 93.</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Vikas Bhalla</w:t>
      </w:r>
    </w:p>
    <w:p>
      <w:pPr>
        <w:spacing w:after="0" w:line="168" w:lineRule="exact"/>
        <w:rPr>
          <w:sz w:val="20"/>
          <w:szCs w:val="20"/>
          <w:color w:val="auto"/>
        </w:rPr>
      </w:pPr>
    </w:p>
    <w:p>
      <w:pPr>
        <w:ind w:right="460"/>
        <w:spacing w:after="0" w:line="239" w:lineRule="auto"/>
        <w:rPr>
          <w:sz w:val="20"/>
          <w:szCs w:val="20"/>
          <w:color w:val="auto"/>
        </w:rPr>
      </w:pPr>
      <w:r>
        <w:rPr>
          <w:rFonts w:ascii="Arial" w:cs="Arial" w:eastAsia="Arial" w:hAnsi="Arial"/>
          <w:sz w:val="13"/>
          <w:szCs w:val="13"/>
          <w:color w:val="auto"/>
        </w:rPr>
        <w:t>Mr. Bhalla serves as our Executive Vice President and Business Head, Insurance, and is based in Delhi, India. We entered into an employment agreement with him, effective April 28, 2001 and a severance letter, effective March 15, 2011, each of which will continue throughout Mr. Bhalla's employment with the Company.</w:t>
      </w:r>
    </w:p>
    <w:p>
      <w:pPr>
        <w:spacing w:after="0" w:line="134" w:lineRule="exact"/>
        <w:rPr>
          <w:sz w:val="20"/>
          <w:szCs w:val="20"/>
          <w:color w:val="auto"/>
        </w:rPr>
      </w:pPr>
    </w:p>
    <w:p>
      <w:pPr>
        <w:ind w:left="780" w:hanging="393"/>
        <w:spacing w:after="0"/>
        <w:tabs>
          <w:tab w:leader="none" w:pos="780" w:val="left"/>
        </w:tabs>
        <w:numPr>
          <w:ilvl w:val="0"/>
          <w:numId w:val="78"/>
        </w:numPr>
        <w:rPr>
          <w:rFonts w:ascii="Arial" w:cs="Arial" w:eastAsia="Arial" w:hAnsi="Arial"/>
          <w:sz w:val="13"/>
          <w:szCs w:val="13"/>
          <w:color w:val="FF4000"/>
        </w:rPr>
      </w:pPr>
      <w:r>
        <w:rPr>
          <w:rFonts w:ascii="Arial" w:cs="Arial" w:eastAsia="Arial" w:hAnsi="Arial"/>
          <w:sz w:val="13"/>
          <w:szCs w:val="13"/>
          <w:b w:val="1"/>
          <w:bCs w:val="1"/>
          <w:color w:val="auto"/>
        </w:rPr>
        <w:t>Salary, Bonus and Equity:</w:t>
      </w:r>
    </w:p>
    <w:p>
      <w:pPr>
        <w:spacing w:after="0" w:line="12" w:lineRule="exact"/>
        <w:rPr>
          <w:rFonts w:ascii="Arial" w:cs="Arial" w:eastAsia="Arial" w:hAnsi="Arial"/>
          <w:sz w:val="13"/>
          <w:szCs w:val="13"/>
          <w:color w:val="FF4000"/>
        </w:rPr>
      </w:pPr>
    </w:p>
    <w:p>
      <w:pPr>
        <w:ind w:left="780" w:right="100"/>
        <w:spacing w:after="0" w:line="260" w:lineRule="auto"/>
        <w:rPr>
          <w:rFonts w:ascii="Arial" w:cs="Arial" w:eastAsia="Arial" w:hAnsi="Arial"/>
          <w:sz w:val="13"/>
          <w:szCs w:val="13"/>
          <w:color w:val="FF4000"/>
        </w:rPr>
      </w:pPr>
      <w:r>
        <w:rPr>
          <w:rFonts w:ascii="Arial" w:cs="Arial" w:eastAsia="Arial" w:hAnsi="Arial"/>
          <w:sz w:val="12"/>
          <w:szCs w:val="12"/>
          <w:color w:val="auto"/>
        </w:rPr>
        <w:t>Mr. Bhalla's annual fixed compensation, measured in U.S. dollars rather than his home currency of Indian rupees (using an exchange rate of 71.38 INR to 1 USD, which was the exchange rate on December 31, 2019), was decreased from $344,450 to $308,210 effective April 1, 2019. Mr. Bhalla's annual fixed compensation includes base salary, as well as amounts available as a leave travel allowance, a housing allowance, an automobile allowance, a medical allowance and a cash supplementary allowance. In addition, Mr. Bhalla can earn an annual cash bonus, with a target of 75% of annual fixed compensation and a maximum of 162% of annual fixed compensation, based upon the attainment of performance criteria determined by our Compensation Committee. Mr. Bhalla is also eligible, subject to performance and other conditions, to receive annual equity awards at the discretion of the Compensation Committee.</w:t>
      </w:r>
    </w:p>
    <w:p>
      <w:pPr>
        <w:spacing w:after="0" w:line="138"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Mr. Bhalla's agreements also includes severance, termination and noncompetition provisions which are described below under "Potential Payments upon Termination or Change in Control at Fiscal 2020 Year-End" beginning on page 93.</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Samuel Meckey</w:t>
      </w:r>
    </w:p>
    <w:p>
      <w:pPr>
        <w:spacing w:after="0" w:line="168"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auto"/>
        </w:rPr>
        <w:t>Mr. Meckey serves as our Executive Vice President and Business Head, Healthcare, and is based at our executive offices in New York, New York. We entered into an employment agreement with him, effective November 5, 2018, which will continue throughout Mr. Meckey's employment with the Company.</w:t>
      </w:r>
    </w:p>
    <w:p>
      <w:pPr>
        <w:spacing w:after="0" w:line="143" w:lineRule="exact"/>
        <w:rPr>
          <w:sz w:val="20"/>
          <w:szCs w:val="20"/>
          <w:color w:val="auto"/>
        </w:rPr>
      </w:pPr>
    </w:p>
    <w:p>
      <w:pPr>
        <w:ind w:left="780" w:hanging="393"/>
        <w:spacing w:after="0"/>
        <w:tabs>
          <w:tab w:leader="none" w:pos="780" w:val="left"/>
        </w:tabs>
        <w:numPr>
          <w:ilvl w:val="0"/>
          <w:numId w:val="79"/>
        </w:numPr>
        <w:rPr>
          <w:rFonts w:ascii="Arial" w:cs="Arial" w:eastAsia="Arial" w:hAnsi="Arial"/>
          <w:sz w:val="13"/>
          <w:szCs w:val="13"/>
          <w:color w:val="FF4000"/>
        </w:rPr>
      </w:pPr>
      <w:r>
        <w:rPr>
          <w:rFonts w:ascii="Arial" w:cs="Arial" w:eastAsia="Arial" w:hAnsi="Arial"/>
          <w:sz w:val="13"/>
          <w:szCs w:val="13"/>
          <w:b w:val="1"/>
          <w:bCs w:val="1"/>
          <w:color w:val="auto"/>
        </w:rPr>
        <w:t>Salary, Bonus and Equity:</w:t>
      </w:r>
    </w:p>
    <w:p>
      <w:pPr>
        <w:spacing w:after="0" w:line="12" w:lineRule="exact"/>
        <w:rPr>
          <w:rFonts w:ascii="Arial" w:cs="Arial" w:eastAsia="Arial" w:hAnsi="Arial"/>
          <w:sz w:val="13"/>
          <w:szCs w:val="13"/>
          <w:color w:val="FF4000"/>
        </w:rPr>
      </w:pPr>
    </w:p>
    <w:p>
      <w:pPr>
        <w:jc w:val="both"/>
        <w:ind w:left="780" w:right="20"/>
        <w:spacing w:after="0" w:line="237" w:lineRule="auto"/>
        <w:rPr>
          <w:rFonts w:ascii="Arial" w:cs="Arial" w:eastAsia="Arial" w:hAnsi="Arial"/>
          <w:sz w:val="13"/>
          <w:szCs w:val="13"/>
          <w:color w:val="FF4000"/>
        </w:rPr>
      </w:pPr>
      <w:r>
        <w:rPr>
          <w:rFonts w:ascii="Arial" w:cs="Arial" w:eastAsia="Arial" w:hAnsi="Arial"/>
          <w:sz w:val="13"/>
          <w:szCs w:val="13"/>
          <w:color w:val="auto"/>
        </w:rPr>
        <w:t>Mr. Meckey's annual fixed compensation was held constant at $425,000 in 2019. In addition, Mr. Meckey can earn an annual cash bonus, with a target of 75% of annual fixed compensation and a maximum of 162% of annual fixed compensation, based upon the attainment of performance criteria determined by our Compensation Committee. Mr. Meckey is also eligible, subject to performance and other conditions, to receive annual equity awards at the discretion of the Compensation Committee.</w:t>
      </w:r>
    </w:p>
    <w:p>
      <w:pPr>
        <w:spacing w:after="0" w:line="150" w:lineRule="exact"/>
        <w:rPr>
          <w:sz w:val="20"/>
          <w:szCs w:val="20"/>
          <w:color w:val="auto"/>
        </w:rPr>
      </w:pPr>
    </w:p>
    <w:p>
      <w:pPr>
        <w:ind w:right="280"/>
        <w:spacing w:after="0" w:line="239" w:lineRule="auto"/>
        <w:rPr>
          <w:sz w:val="20"/>
          <w:szCs w:val="20"/>
          <w:color w:val="auto"/>
        </w:rPr>
      </w:pPr>
      <w:r>
        <w:rPr>
          <w:rFonts w:ascii="Arial" w:cs="Arial" w:eastAsia="Arial" w:hAnsi="Arial"/>
          <w:sz w:val="13"/>
          <w:szCs w:val="13"/>
          <w:color w:val="auto"/>
        </w:rPr>
        <w:t>Mr. Meckey's agreements also includes severance, termination and noncompetition provisions which are described below under "Potential Payments upon Termination or Change in Control at Fiscal 2020 Year-End" beginning on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192405</wp:posOffset>
            </wp:positionV>
            <wp:extent cx="1408430" cy="3333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92" w:name="page93"/>
    <w:bookmarkEnd w:id="92"/>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479EFF"/>
        </w:rPr>
        <w:t>Outstanding Equity Awards at Fiscal 2020 Year-End</w:t>
      </w:r>
    </w:p>
    <w:p>
      <w:pPr>
        <w:spacing w:after="0" w:line="157"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tcPr>
          <w:p>
            <w:pPr>
              <w:jc w:val="center"/>
              <w:ind w:left="28"/>
              <w:spacing w:after="0"/>
              <w:rPr>
                <w:sz w:val="20"/>
                <w:szCs w:val="20"/>
                <w:color w:val="auto"/>
              </w:rPr>
            </w:pPr>
            <w:r>
              <w:rPr>
                <w:rFonts w:ascii="Arial" w:cs="Arial" w:eastAsia="Arial" w:hAnsi="Arial"/>
                <w:sz w:val="10"/>
                <w:szCs w:val="10"/>
                <w:b w:val="1"/>
                <w:bCs w:val="1"/>
                <w:color w:val="auto"/>
              </w:rPr>
              <w:t>Equity Incentive Plan</w:t>
            </w:r>
          </w:p>
        </w:tc>
      </w:tr>
      <w:tr>
        <w:trPr>
          <w:trHeight w:val="117"/>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rPr>
              <w:t>Equity Incentive Plan</w:t>
            </w:r>
          </w:p>
        </w:tc>
        <w:tc>
          <w:tcPr>
            <w:tcW w:w="1160" w:type="dxa"/>
            <w:vAlign w:val="bottom"/>
          </w:tcPr>
          <w:p>
            <w:pPr>
              <w:jc w:val="center"/>
              <w:ind w:left="28"/>
              <w:spacing w:after="0"/>
              <w:rPr>
                <w:sz w:val="20"/>
                <w:szCs w:val="20"/>
                <w:color w:val="auto"/>
              </w:rPr>
            </w:pPr>
            <w:r>
              <w:rPr>
                <w:rFonts w:ascii="Arial" w:cs="Arial" w:eastAsia="Arial" w:hAnsi="Arial"/>
                <w:sz w:val="10"/>
                <w:szCs w:val="10"/>
                <w:b w:val="1"/>
                <w:bCs w:val="1"/>
                <w:color w:val="auto"/>
              </w:rPr>
              <w:t>Awards: Market or</w:t>
            </w:r>
          </w:p>
        </w:tc>
      </w:tr>
      <w:tr>
        <w:trPr>
          <w:trHeight w:val="117"/>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rPr>
              <w:t>Awards: Number of</w:t>
            </w:r>
          </w:p>
        </w:tc>
        <w:tc>
          <w:tcPr>
            <w:tcW w:w="1160" w:type="dxa"/>
            <w:vAlign w:val="bottom"/>
          </w:tcPr>
          <w:p>
            <w:pPr>
              <w:jc w:val="center"/>
              <w:ind w:left="28"/>
              <w:spacing w:after="0"/>
              <w:rPr>
                <w:sz w:val="20"/>
                <w:szCs w:val="20"/>
                <w:color w:val="auto"/>
              </w:rPr>
            </w:pPr>
            <w:r>
              <w:rPr>
                <w:rFonts w:ascii="Arial" w:cs="Arial" w:eastAsia="Arial" w:hAnsi="Arial"/>
                <w:sz w:val="10"/>
                <w:szCs w:val="10"/>
                <w:b w:val="1"/>
                <w:bCs w:val="1"/>
                <w:color w:val="auto"/>
              </w:rPr>
              <w:t>Payout Value of</w:t>
            </w:r>
          </w:p>
        </w:tc>
      </w:tr>
      <w:tr>
        <w:trPr>
          <w:trHeight w:val="117"/>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rPr>
              <w:t>Market Value of</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rPr>
              <w:t>Unearned Shares,</w:t>
            </w:r>
          </w:p>
        </w:tc>
        <w:tc>
          <w:tcPr>
            <w:tcW w:w="1160" w:type="dxa"/>
            <w:vAlign w:val="bottom"/>
          </w:tcPr>
          <w:p>
            <w:pPr>
              <w:jc w:val="center"/>
              <w:ind w:left="28"/>
              <w:spacing w:after="0"/>
              <w:rPr>
                <w:sz w:val="20"/>
                <w:szCs w:val="20"/>
                <w:color w:val="auto"/>
              </w:rPr>
            </w:pPr>
            <w:r>
              <w:rPr>
                <w:rFonts w:ascii="Arial" w:cs="Arial" w:eastAsia="Arial" w:hAnsi="Arial"/>
                <w:sz w:val="10"/>
                <w:szCs w:val="10"/>
                <w:b w:val="1"/>
                <w:bCs w:val="1"/>
                <w:color w:val="auto"/>
              </w:rPr>
              <w:t>Unearned Shares,</w:t>
            </w:r>
          </w:p>
        </w:tc>
      </w:tr>
      <w:tr>
        <w:trPr>
          <w:trHeight w:val="117"/>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rPr>
              <w:t>Number of Shares or</w:t>
            </w: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rPr>
              <w:t>Shares or Units</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rPr>
              <w:t>Units or Other</w:t>
            </w:r>
          </w:p>
        </w:tc>
        <w:tc>
          <w:tcPr>
            <w:tcW w:w="1160" w:type="dxa"/>
            <w:vAlign w:val="bottom"/>
          </w:tcPr>
          <w:p>
            <w:pPr>
              <w:jc w:val="center"/>
              <w:ind w:left="28"/>
              <w:spacing w:after="0"/>
              <w:rPr>
                <w:sz w:val="20"/>
                <w:szCs w:val="20"/>
                <w:color w:val="auto"/>
              </w:rPr>
            </w:pPr>
            <w:r>
              <w:rPr>
                <w:rFonts w:ascii="Arial" w:cs="Arial" w:eastAsia="Arial" w:hAnsi="Arial"/>
                <w:sz w:val="10"/>
                <w:szCs w:val="10"/>
                <w:b w:val="1"/>
                <w:bCs w:val="1"/>
                <w:color w:val="auto"/>
              </w:rPr>
              <w:t>Units or Other</w:t>
            </w:r>
          </w:p>
        </w:tc>
      </w:tr>
      <w:tr>
        <w:trPr>
          <w:trHeight w:val="125"/>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jc w:val="right"/>
              <w:ind w:right="48"/>
              <w:spacing w:after="0"/>
              <w:rPr>
                <w:sz w:val="20"/>
                <w:szCs w:val="20"/>
                <w:color w:val="auto"/>
              </w:rPr>
            </w:pPr>
            <w:r>
              <w:rPr>
                <w:rFonts w:ascii="Arial" w:cs="Arial" w:eastAsia="Arial" w:hAnsi="Arial"/>
                <w:sz w:val="10"/>
                <w:szCs w:val="10"/>
                <w:b w:val="1"/>
                <w:bCs w:val="1"/>
                <w:color w:val="auto"/>
              </w:rPr>
              <w:t>Stock Award</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rPr>
              <w:t>Units of Stock That</w:t>
            </w: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rPr>
              <w:t>of Stock That</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rPr>
              <w:t>Rights That Have</w:t>
            </w:r>
          </w:p>
        </w:tc>
        <w:tc>
          <w:tcPr>
            <w:tcW w:w="1160" w:type="dxa"/>
            <w:vAlign w:val="bottom"/>
          </w:tcPr>
          <w:p>
            <w:pPr>
              <w:jc w:val="center"/>
              <w:ind w:left="28"/>
              <w:spacing w:after="0"/>
              <w:rPr>
                <w:sz w:val="20"/>
                <w:szCs w:val="20"/>
                <w:color w:val="auto"/>
              </w:rPr>
            </w:pPr>
            <w:r>
              <w:rPr>
                <w:rFonts w:ascii="Arial" w:cs="Arial" w:eastAsia="Arial" w:hAnsi="Arial"/>
                <w:sz w:val="10"/>
                <w:szCs w:val="10"/>
                <w:b w:val="1"/>
                <w:bCs w:val="1"/>
                <w:color w:val="auto"/>
              </w:rPr>
              <w:t>Rights That Have</w:t>
            </w:r>
          </w:p>
        </w:tc>
      </w:tr>
      <w:tr>
        <w:trPr>
          <w:trHeight w:val="136"/>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Name</w:t>
            </w:r>
          </w:p>
        </w:tc>
        <w:tc>
          <w:tcPr>
            <w:tcW w:w="30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Grant Date</w:t>
            </w:r>
          </w:p>
        </w:tc>
        <w:tc>
          <w:tcPr>
            <w:tcW w:w="130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0"/>
                <w:szCs w:val="10"/>
                <w:b w:val="1"/>
                <w:bCs w:val="1"/>
                <w:color w:val="auto"/>
                <w:w w:val="99"/>
              </w:rPr>
              <w:t>Have Not Vested (#)</w:t>
            </w:r>
            <w:r>
              <w:rPr>
                <w:rFonts w:ascii="Arial" w:cs="Arial" w:eastAsia="Arial" w:hAnsi="Arial"/>
                <w:sz w:val="15"/>
                <w:szCs w:val="15"/>
                <w:b w:val="1"/>
                <w:bCs w:val="1"/>
                <w:color w:val="auto"/>
                <w:w w:val="99"/>
                <w:vertAlign w:val="superscript"/>
              </w:rPr>
              <w:t>(1)</w:t>
            </w:r>
          </w:p>
        </w:tc>
        <w:tc>
          <w:tcPr>
            <w:tcW w:w="128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0"/>
                <w:szCs w:val="10"/>
                <w:b w:val="1"/>
                <w:bCs w:val="1"/>
                <w:color w:val="auto"/>
              </w:rPr>
              <w:t>Have Not Vested ($)</w:t>
            </w:r>
            <w:r>
              <w:rPr>
                <w:rFonts w:ascii="Arial" w:cs="Arial" w:eastAsia="Arial" w:hAnsi="Arial"/>
                <w:sz w:val="15"/>
                <w:szCs w:val="15"/>
                <w:b w:val="1"/>
                <w:bCs w:val="1"/>
                <w:color w:val="auto"/>
                <w:vertAlign w:val="superscript"/>
              </w:rPr>
              <w:t>(3)</w:t>
            </w:r>
          </w:p>
        </w:tc>
        <w:tc>
          <w:tcPr>
            <w:tcW w:w="124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0"/>
                <w:szCs w:val="10"/>
                <w:b w:val="1"/>
                <w:bCs w:val="1"/>
                <w:color w:val="auto"/>
                <w:w w:val="98"/>
              </w:rPr>
              <w:t>Not Vested (#)</w:t>
            </w:r>
            <w:r>
              <w:rPr>
                <w:rFonts w:ascii="Arial" w:cs="Arial" w:eastAsia="Arial" w:hAnsi="Arial"/>
                <w:sz w:val="15"/>
                <w:szCs w:val="15"/>
                <w:b w:val="1"/>
                <w:bCs w:val="1"/>
                <w:color w:val="auto"/>
                <w:w w:val="98"/>
                <w:vertAlign w:val="superscript"/>
              </w:rPr>
              <w:t>(2)</w:t>
            </w:r>
          </w:p>
        </w:tc>
        <w:tc>
          <w:tcPr>
            <w:tcW w:w="1160" w:type="dxa"/>
            <w:vAlign w:val="bottom"/>
            <w:tcBorders>
              <w:bottom w:val="single" w:sz="8" w:color="auto"/>
            </w:tcBorders>
          </w:tcPr>
          <w:p>
            <w:pPr>
              <w:jc w:val="right"/>
              <w:ind w:right="108"/>
              <w:spacing w:after="0" w:line="136" w:lineRule="exact"/>
              <w:rPr>
                <w:sz w:val="20"/>
                <w:szCs w:val="20"/>
                <w:color w:val="auto"/>
              </w:rPr>
            </w:pPr>
            <w:r>
              <w:rPr>
                <w:rFonts w:ascii="Arial" w:cs="Arial" w:eastAsia="Arial" w:hAnsi="Arial"/>
                <w:sz w:val="10"/>
                <w:szCs w:val="10"/>
                <w:b w:val="1"/>
                <w:bCs w:val="1"/>
                <w:color w:val="auto"/>
              </w:rPr>
              <w:t>Not Vested ($)</w:t>
            </w:r>
            <w:r>
              <w:rPr>
                <w:rFonts w:ascii="Arial" w:cs="Arial" w:eastAsia="Arial" w:hAnsi="Arial"/>
                <w:sz w:val="15"/>
                <w:szCs w:val="15"/>
                <w:b w:val="1"/>
                <w:bCs w:val="1"/>
                <w:color w:val="auto"/>
                <w:vertAlign w:val="superscript"/>
              </w:rPr>
              <w:t>(3)</w:t>
            </w:r>
          </w:p>
        </w:tc>
      </w:tr>
      <w:tr>
        <w:trPr>
          <w:trHeight w:val="126"/>
        </w:trPr>
        <w:tc>
          <w:tcPr>
            <w:tcW w:w="3140" w:type="dxa"/>
            <w:vAlign w:val="bottom"/>
            <w:gridSpan w:val="2"/>
          </w:tcPr>
          <w:p>
            <w:pPr>
              <w:spacing w:after="0"/>
              <w:rPr>
                <w:sz w:val="20"/>
                <w:szCs w:val="20"/>
                <w:color w:val="auto"/>
              </w:rPr>
            </w:pPr>
            <w:r>
              <w:rPr>
                <w:rFonts w:ascii="Arial" w:cs="Arial" w:eastAsia="Arial" w:hAnsi="Arial"/>
                <w:sz w:val="10"/>
                <w:szCs w:val="10"/>
                <w:b w:val="1"/>
                <w:bCs w:val="1"/>
                <w:color w:val="479EFF"/>
              </w:rPr>
              <w:t>Rohit Kapoor</w:t>
            </w: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2/22/2017</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7,973</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678,741</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2/20/2018</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15,003</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1,277,205</w:t>
            </w: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21,683</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1,845,874</w:t>
            </w: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28,910</w:t>
            </w:r>
            <w:r>
              <w:rPr>
                <w:rFonts w:ascii="Arial" w:cs="Arial" w:eastAsia="Arial" w:hAnsi="Arial"/>
                <w:sz w:val="15"/>
                <w:szCs w:val="15"/>
                <w:color w:val="auto"/>
                <w:vertAlign w:val="superscript"/>
              </w:rPr>
              <w:t>(a)</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2,461,108</w:t>
            </w:r>
          </w:p>
        </w:tc>
      </w:tr>
      <w:tr>
        <w:trPr>
          <w:trHeight w:val="181"/>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308"/>
              <w:spacing w:after="0"/>
              <w:rPr>
                <w:sz w:val="20"/>
                <w:szCs w:val="20"/>
                <w:color w:val="auto"/>
              </w:rPr>
            </w:pPr>
            <w:r>
              <w:rPr>
                <w:rFonts w:ascii="Arial" w:cs="Arial" w:eastAsia="Arial" w:hAnsi="Arial"/>
                <w:sz w:val="10"/>
                <w:szCs w:val="10"/>
                <w:color w:val="auto"/>
              </w:rPr>
              <w:t>28,910</w:t>
            </w:r>
            <w:r>
              <w:rPr>
                <w:rFonts w:ascii="Arial" w:cs="Arial" w:eastAsia="Arial" w:hAnsi="Arial"/>
                <w:sz w:val="15"/>
                <w:szCs w:val="15"/>
                <w:color w:val="auto"/>
                <w:vertAlign w:val="superscript"/>
              </w:rPr>
              <w:t>(b)</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2,461,108</w:t>
            </w:r>
          </w:p>
        </w:tc>
      </w:tr>
      <w:tr>
        <w:trPr>
          <w:trHeight w:val="124"/>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2/20/2020</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23,520</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2,002,258</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2/20/2020</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21,330</w:t>
            </w:r>
            <w:r>
              <w:rPr>
                <w:rFonts w:ascii="Arial" w:cs="Arial" w:eastAsia="Arial" w:hAnsi="Arial"/>
                <w:sz w:val="15"/>
                <w:szCs w:val="15"/>
                <w:color w:val="auto"/>
                <w:vertAlign w:val="superscript"/>
              </w:rPr>
              <w:t>(c)</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1,815,823</w:t>
            </w:r>
          </w:p>
        </w:tc>
      </w:tr>
      <w:tr>
        <w:trPr>
          <w:trHeight w:val="139"/>
        </w:trPr>
        <w:tc>
          <w:tcPr>
            <w:tcW w:w="20" w:type="dxa"/>
            <w:vAlign w:val="bottom"/>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rPr>
              <w:t>2/20/2020</w:t>
            </w:r>
          </w:p>
        </w:tc>
        <w:tc>
          <w:tcPr>
            <w:tcW w:w="1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08"/>
              <w:spacing w:after="0" w:line="138" w:lineRule="exact"/>
              <w:rPr>
                <w:sz w:val="20"/>
                <w:szCs w:val="20"/>
                <w:color w:val="auto"/>
              </w:rPr>
            </w:pPr>
            <w:r>
              <w:rPr>
                <w:rFonts w:ascii="Arial" w:cs="Arial" w:eastAsia="Arial" w:hAnsi="Arial"/>
                <w:sz w:val="10"/>
                <w:szCs w:val="10"/>
                <w:color w:val="auto"/>
              </w:rPr>
              <w:t>21,330</w:t>
            </w:r>
            <w:r>
              <w:rPr>
                <w:rFonts w:ascii="Arial" w:cs="Arial" w:eastAsia="Arial" w:hAnsi="Arial"/>
                <w:sz w:val="15"/>
                <w:szCs w:val="15"/>
                <w:color w:val="auto"/>
                <w:vertAlign w:val="superscript"/>
              </w:rPr>
              <w:t>(d)</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rPr>
              <w:t>1,815,823</w:t>
            </w:r>
          </w:p>
        </w:tc>
      </w:tr>
      <w:tr>
        <w:trPr>
          <w:trHeight w:val="126"/>
        </w:trPr>
        <w:tc>
          <w:tcPr>
            <w:tcW w:w="20" w:type="dxa"/>
            <w:vAlign w:val="bottom"/>
          </w:tcPr>
          <w:p>
            <w:pPr>
              <w:spacing w:after="0"/>
              <w:rPr>
                <w:sz w:val="10"/>
                <w:szCs w:val="10"/>
                <w:color w:val="auto"/>
              </w:rPr>
            </w:pPr>
          </w:p>
        </w:tc>
        <w:tc>
          <w:tcPr>
            <w:tcW w:w="3120" w:type="dxa"/>
            <w:vAlign w:val="bottom"/>
          </w:tcPr>
          <w:p>
            <w:pPr>
              <w:spacing w:after="0"/>
              <w:rPr>
                <w:sz w:val="20"/>
                <w:szCs w:val="20"/>
                <w:color w:val="auto"/>
              </w:rPr>
            </w:pPr>
            <w:r>
              <w:rPr>
                <w:rFonts w:ascii="Arial" w:cs="Arial" w:eastAsia="Arial" w:hAnsi="Arial"/>
                <w:sz w:val="10"/>
                <w:szCs w:val="10"/>
                <w:b w:val="1"/>
                <w:bCs w:val="1"/>
                <w:color w:val="479EFF"/>
              </w:rPr>
              <w:t>Maurizio Nicolelli</w:t>
            </w: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2/3/2020</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5,898</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502,097</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4,365</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371,592</w:t>
            </w: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2,183</w:t>
            </w:r>
            <w:r>
              <w:rPr>
                <w:rFonts w:ascii="Arial" w:cs="Arial" w:eastAsia="Arial" w:hAnsi="Arial"/>
                <w:sz w:val="15"/>
                <w:szCs w:val="15"/>
                <w:color w:val="auto"/>
                <w:vertAlign w:val="superscript"/>
              </w:rPr>
              <w:t>(c)</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185,839</w:t>
            </w:r>
          </w:p>
        </w:tc>
      </w:tr>
      <w:tr>
        <w:trPr>
          <w:trHeight w:val="139"/>
        </w:trPr>
        <w:tc>
          <w:tcPr>
            <w:tcW w:w="20" w:type="dxa"/>
            <w:vAlign w:val="bottom"/>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08"/>
              <w:spacing w:after="0" w:line="138" w:lineRule="exact"/>
              <w:rPr>
                <w:sz w:val="20"/>
                <w:szCs w:val="20"/>
                <w:color w:val="auto"/>
              </w:rPr>
            </w:pPr>
            <w:r>
              <w:rPr>
                <w:rFonts w:ascii="Arial" w:cs="Arial" w:eastAsia="Arial" w:hAnsi="Arial"/>
                <w:sz w:val="10"/>
                <w:szCs w:val="10"/>
                <w:color w:val="auto"/>
              </w:rPr>
              <w:t>2,182</w:t>
            </w:r>
            <w:r>
              <w:rPr>
                <w:rFonts w:ascii="Arial" w:cs="Arial" w:eastAsia="Arial" w:hAnsi="Arial"/>
                <w:sz w:val="15"/>
                <w:szCs w:val="15"/>
                <w:color w:val="auto"/>
                <w:vertAlign w:val="superscript"/>
              </w:rPr>
              <w:t>(d)</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rPr>
              <w:t>185,754</w:t>
            </w:r>
          </w:p>
        </w:tc>
      </w:tr>
      <w:tr>
        <w:trPr>
          <w:trHeight w:val="126"/>
        </w:trPr>
        <w:tc>
          <w:tcPr>
            <w:tcW w:w="20" w:type="dxa"/>
            <w:vAlign w:val="bottom"/>
          </w:tcPr>
          <w:p>
            <w:pPr>
              <w:spacing w:after="0"/>
              <w:rPr>
                <w:sz w:val="10"/>
                <w:szCs w:val="10"/>
                <w:color w:val="auto"/>
              </w:rPr>
            </w:pPr>
          </w:p>
        </w:tc>
        <w:tc>
          <w:tcPr>
            <w:tcW w:w="3120" w:type="dxa"/>
            <w:vAlign w:val="bottom"/>
          </w:tcPr>
          <w:p>
            <w:pPr>
              <w:spacing w:after="0"/>
              <w:rPr>
                <w:sz w:val="20"/>
                <w:szCs w:val="20"/>
                <w:color w:val="auto"/>
              </w:rPr>
            </w:pPr>
            <w:r>
              <w:rPr>
                <w:rFonts w:ascii="Arial" w:cs="Arial" w:eastAsia="Arial" w:hAnsi="Arial"/>
                <w:sz w:val="10"/>
                <w:szCs w:val="10"/>
                <w:b w:val="1"/>
                <w:bCs w:val="1"/>
                <w:color w:val="479EFF"/>
              </w:rPr>
              <w:t>Pavan Bagai</w:t>
            </w: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2/23/2017</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2,875</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244,749</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2/22/2018</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5,300</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451,189</w:t>
            </w: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8,194</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697,555</w:t>
            </w: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10,926</w:t>
            </w:r>
            <w:r>
              <w:rPr>
                <w:rFonts w:ascii="Arial" w:cs="Arial" w:eastAsia="Arial" w:hAnsi="Arial"/>
                <w:sz w:val="15"/>
                <w:szCs w:val="15"/>
                <w:color w:val="auto"/>
                <w:vertAlign w:val="superscript"/>
              </w:rPr>
              <w:t>(a)</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930,130</w:t>
            </w:r>
          </w:p>
        </w:tc>
      </w:tr>
      <w:tr>
        <w:trPr>
          <w:trHeight w:val="181"/>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308"/>
              <w:spacing w:after="0"/>
              <w:rPr>
                <w:sz w:val="20"/>
                <w:szCs w:val="20"/>
                <w:color w:val="auto"/>
              </w:rPr>
            </w:pPr>
            <w:r>
              <w:rPr>
                <w:rFonts w:ascii="Arial" w:cs="Arial" w:eastAsia="Arial" w:hAnsi="Arial"/>
                <w:sz w:val="10"/>
                <w:szCs w:val="10"/>
                <w:color w:val="auto"/>
              </w:rPr>
              <w:t>10,924</w:t>
            </w:r>
            <w:r>
              <w:rPr>
                <w:rFonts w:ascii="Arial" w:cs="Arial" w:eastAsia="Arial" w:hAnsi="Arial"/>
                <w:sz w:val="15"/>
                <w:szCs w:val="15"/>
                <w:color w:val="auto"/>
                <w:vertAlign w:val="superscript"/>
              </w:rPr>
              <w:t>(b)</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929,960</w:t>
            </w:r>
          </w:p>
        </w:tc>
      </w:tr>
      <w:tr>
        <w:trPr>
          <w:trHeight w:val="124"/>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10,045</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855,131</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5,023</w:t>
            </w:r>
            <w:r>
              <w:rPr>
                <w:rFonts w:ascii="Arial" w:cs="Arial" w:eastAsia="Arial" w:hAnsi="Arial"/>
                <w:sz w:val="15"/>
                <w:szCs w:val="15"/>
                <w:color w:val="auto"/>
                <w:vertAlign w:val="superscript"/>
              </w:rPr>
              <w:t>(c)</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427,608</w:t>
            </w:r>
          </w:p>
        </w:tc>
      </w:tr>
      <w:tr>
        <w:trPr>
          <w:trHeight w:val="139"/>
        </w:trPr>
        <w:tc>
          <w:tcPr>
            <w:tcW w:w="20" w:type="dxa"/>
            <w:vAlign w:val="bottom"/>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08"/>
              <w:spacing w:after="0" w:line="138" w:lineRule="exact"/>
              <w:rPr>
                <w:sz w:val="20"/>
                <w:szCs w:val="20"/>
                <w:color w:val="auto"/>
              </w:rPr>
            </w:pPr>
            <w:r>
              <w:rPr>
                <w:rFonts w:ascii="Arial" w:cs="Arial" w:eastAsia="Arial" w:hAnsi="Arial"/>
                <w:sz w:val="10"/>
                <w:szCs w:val="10"/>
                <w:color w:val="auto"/>
              </w:rPr>
              <w:t>5,022</w:t>
            </w:r>
            <w:r>
              <w:rPr>
                <w:rFonts w:ascii="Arial" w:cs="Arial" w:eastAsia="Arial" w:hAnsi="Arial"/>
                <w:sz w:val="15"/>
                <w:szCs w:val="15"/>
                <w:color w:val="auto"/>
                <w:vertAlign w:val="superscript"/>
              </w:rPr>
              <w:t>(d)</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rPr>
              <w:t>427,523</w:t>
            </w:r>
          </w:p>
        </w:tc>
      </w:tr>
      <w:tr>
        <w:trPr>
          <w:trHeight w:val="126"/>
        </w:trPr>
        <w:tc>
          <w:tcPr>
            <w:tcW w:w="20" w:type="dxa"/>
            <w:vAlign w:val="bottom"/>
          </w:tcPr>
          <w:p>
            <w:pPr>
              <w:spacing w:after="0"/>
              <w:rPr>
                <w:sz w:val="10"/>
                <w:szCs w:val="10"/>
                <w:color w:val="auto"/>
              </w:rPr>
            </w:pPr>
          </w:p>
        </w:tc>
        <w:tc>
          <w:tcPr>
            <w:tcW w:w="3120" w:type="dxa"/>
            <w:vAlign w:val="bottom"/>
          </w:tcPr>
          <w:p>
            <w:pPr>
              <w:spacing w:after="0"/>
              <w:rPr>
                <w:sz w:val="20"/>
                <w:szCs w:val="20"/>
                <w:color w:val="auto"/>
              </w:rPr>
            </w:pPr>
            <w:r>
              <w:rPr>
                <w:rFonts w:ascii="Arial" w:cs="Arial" w:eastAsia="Arial" w:hAnsi="Arial"/>
                <w:sz w:val="10"/>
                <w:szCs w:val="10"/>
                <w:b w:val="1"/>
                <w:bCs w:val="1"/>
                <w:color w:val="479EFF"/>
              </w:rPr>
              <w:t>Nalin Miglani</w:t>
            </w: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2/23/2017</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1,788</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152,212</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2/22/2018</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3,205</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272,842</w:t>
            </w: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4,632</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394,322</w:t>
            </w: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6,176</w:t>
            </w:r>
            <w:r>
              <w:rPr>
                <w:rFonts w:ascii="Arial" w:cs="Arial" w:eastAsia="Arial" w:hAnsi="Arial"/>
                <w:sz w:val="15"/>
                <w:szCs w:val="15"/>
                <w:color w:val="auto"/>
                <w:vertAlign w:val="superscript"/>
              </w:rPr>
              <w:t>(a)</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525,763</w:t>
            </w:r>
          </w:p>
        </w:tc>
      </w:tr>
      <w:tr>
        <w:trPr>
          <w:trHeight w:val="181"/>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308"/>
              <w:spacing w:after="0"/>
              <w:rPr>
                <w:sz w:val="20"/>
                <w:szCs w:val="20"/>
                <w:color w:val="auto"/>
              </w:rPr>
            </w:pPr>
            <w:r>
              <w:rPr>
                <w:rFonts w:ascii="Arial" w:cs="Arial" w:eastAsia="Arial" w:hAnsi="Arial"/>
                <w:sz w:val="10"/>
                <w:szCs w:val="10"/>
                <w:color w:val="auto"/>
              </w:rPr>
              <w:t>6,174</w:t>
            </w:r>
            <w:r>
              <w:rPr>
                <w:rFonts w:ascii="Arial" w:cs="Arial" w:eastAsia="Arial" w:hAnsi="Arial"/>
                <w:sz w:val="15"/>
                <w:szCs w:val="15"/>
                <w:color w:val="auto"/>
                <w:vertAlign w:val="superscript"/>
              </w:rPr>
              <w:t>(b)</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525,593</w:t>
            </w:r>
          </w:p>
        </w:tc>
      </w:tr>
      <w:tr>
        <w:trPr>
          <w:trHeight w:val="124"/>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6,995</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595,484</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3.498</w:t>
            </w:r>
            <w:r>
              <w:rPr>
                <w:rFonts w:ascii="Arial" w:cs="Arial" w:eastAsia="Arial" w:hAnsi="Arial"/>
                <w:sz w:val="15"/>
                <w:szCs w:val="15"/>
                <w:color w:val="auto"/>
                <w:vertAlign w:val="superscript"/>
              </w:rPr>
              <w:t>(c)</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297,785</w:t>
            </w:r>
          </w:p>
        </w:tc>
      </w:tr>
      <w:tr>
        <w:trPr>
          <w:trHeight w:val="139"/>
        </w:trPr>
        <w:tc>
          <w:tcPr>
            <w:tcW w:w="20" w:type="dxa"/>
            <w:vAlign w:val="bottom"/>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08"/>
              <w:spacing w:after="0" w:line="138" w:lineRule="exact"/>
              <w:rPr>
                <w:sz w:val="20"/>
                <w:szCs w:val="20"/>
                <w:color w:val="auto"/>
              </w:rPr>
            </w:pPr>
            <w:r>
              <w:rPr>
                <w:rFonts w:ascii="Arial" w:cs="Arial" w:eastAsia="Arial" w:hAnsi="Arial"/>
                <w:sz w:val="10"/>
                <w:szCs w:val="10"/>
                <w:color w:val="auto"/>
              </w:rPr>
              <w:t>3,497</w:t>
            </w:r>
            <w:r>
              <w:rPr>
                <w:rFonts w:ascii="Arial" w:cs="Arial" w:eastAsia="Arial" w:hAnsi="Arial"/>
                <w:sz w:val="15"/>
                <w:szCs w:val="15"/>
                <w:color w:val="auto"/>
                <w:vertAlign w:val="superscript"/>
              </w:rPr>
              <w:t>(d)</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rPr>
              <w:t>297,700</w:t>
            </w:r>
          </w:p>
        </w:tc>
      </w:tr>
      <w:tr>
        <w:trPr>
          <w:trHeight w:val="126"/>
        </w:trPr>
        <w:tc>
          <w:tcPr>
            <w:tcW w:w="20" w:type="dxa"/>
            <w:vAlign w:val="bottom"/>
          </w:tcPr>
          <w:p>
            <w:pPr>
              <w:spacing w:after="0"/>
              <w:rPr>
                <w:sz w:val="10"/>
                <w:szCs w:val="10"/>
                <w:color w:val="auto"/>
              </w:rPr>
            </w:pPr>
          </w:p>
        </w:tc>
        <w:tc>
          <w:tcPr>
            <w:tcW w:w="3120" w:type="dxa"/>
            <w:vAlign w:val="bottom"/>
          </w:tcPr>
          <w:p>
            <w:pPr>
              <w:spacing w:after="0"/>
              <w:rPr>
                <w:sz w:val="20"/>
                <w:szCs w:val="20"/>
                <w:color w:val="auto"/>
              </w:rPr>
            </w:pPr>
            <w:r>
              <w:rPr>
                <w:rFonts w:ascii="Arial" w:cs="Arial" w:eastAsia="Arial" w:hAnsi="Arial"/>
                <w:sz w:val="10"/>
                <w:szCs w:val="10"/>
                <w:b w:val="1"/>
                <w:bCs w:val="1"/>
                <w:color w:val="479EFF"/>
              </w:rPr>
              <w:t>Vikas Bhalla</w:t>
            </w: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2/23/2017</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1,362</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115,947</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2/22/2018</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3,328</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283,313</w:t>
            </w: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5,123</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436,121</w:t>
            </w:r>
          </w:p>
        </w:tc>
        <w:tc>
          <w:tcPr>
            <w:tcW w:w="1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6,830</w:t>
            </w:r>
            <w:r>
              <w:rPr>
                <w:rFonts w:ascii="Arial" w:cs="Arial" w:eastAsia="Arial" w:hAnsi="Arial"/>
                <w:sz w:val="15"/>
                <w:szCs w:val="15"/>
                <w:color w:val="auto"/>
                <w:vertAlign w:val="superscript"/>
              </w:rPr>
              <w:t>(a)</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581,438</w:t>
            </w:r>
          </w:p>
        </w:tc>
      </w:tr>
      <w:tr>
        <w:trPr>
          <w:trHeight w:val="181"/>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308"/>
              <w:spacing w:after="0"/>
              <w:rPr>
                <w:sz w:val="20"/>
                <w:szCs w:val="20"/>
                <w:color w:val="auto"/>
              </w:rPr>
            </w:pPr>
            <w:r>
              <w:rPr>
                <w:rFonts w:ascii="Arial" w:cs="Arial" w:eastAsia="Arial" w:hAnsi="Arial"/>
                <w:sz w:val="10"/>
                <w:szCs w:val="10"/>
                <w:color w:val="auto"/>
              </w:rPr>
              <w:t>6.830</w:t>
            </w:r>
            <w:r>
              <w:rPr>
                <w:rFonts w:ascii="Arial" w:cs="Arial" w:eastAsia="Arial" w:hAnsi="Arial"/>
                <w:sz w:val="15"/>
                <w:szCs w:val="15"/>
                <w:color w:val="auto"/>
                <w:vertAlign w:val="superscript"/>
              </w:rPr>
              <w:t>(b)</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581,438</w:t>
            </w:r>
          </w:p>
        </w:tc>
      </w:tr>
      <w:tr>
        <w:trPr>
          <w:trHeight w:val="124"/>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8,300</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706,579</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4.150</w:t>
            </w:r>
            <w:r>
              <w:rPr>
                <w:rFonts w:ascii="Arial" w:cs="Arial" w:eastAsia="Arial" w:hAnsi="Arial"/>
                <w:sz w:val="15"/>
                <w:szCs w:val="15"/>
                <w:color w:val="auto"/>
                <w:vertAlign w:val="superscript"/>
              </w:rPr>
              <w:t>(c)</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353,290</w:t>
            </w:r>
          </w:p>
        </w:tc>
      </w:tr>
      <w:tr>
        <w:trPr>
          <w:trHeight w:val="139"/>
        </w:trPr>
        <w:tc>
          <w:tcPr>
            <w:tcW w:w="20" w:type="dxa"/>
            <w:vAlign w:val="bottom"/>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08"/>
              <w:spacing w:after="0" w:line="138" w:lineRule="exact"/>
              <w:rPr>
                <w:sz w:val="20"/>
                <w:szCs w:val="20"/>
                <w:color w:val="auto"/>
              </w:rPr>
            </w:pPr>
            <w:r>
              <w:rPr>
                <w:rFonts w:ascii="Arial" w:cs="Arial" w:eastAsia="Arial" w:hAnsi="Arial"/>
                <w:sz w:val="10"/>
                <w:szCs w:val="10"/>
                <w:color w:val="auto"/>
              </w:rPr>
              <w:t>4,150</w:t>
            </w:r>
            <w:r>
              <w:rPr>
                <w:rFonts w:ascii="Arial" w:cs="Arial" w:eastAsia="Arial" w:hAnsi="Arial"/>
                <w:sz w:val="15"/>
                <w:szCs w:val="15"/>
                <w:color w:val="auto"/>
                <w:vertAlign w:val="superscript"/>
              </w:rPr>
              <w:t>(d)</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rPr>
              <w:t>353,290</w:t>
            </w:r>
          </w:p>
        </w:tc>
      </w:tr>
      <w:tr>
        <w:trPr>
          <w:trHeight w:val="126"/>
        </w:trPr>
        <w:tc>
          <w:tcPr>
            <w:tcW w:w="20" w:type="dxa"/>
            <w:vAlign w:val="bottom"/>
          </w:tcPr>
          <w:p>
            <w:pPr>
              <w:spacing w:after="0"/>
              <w:rPr>
                <w:sz w:val="10"/>
                <w:szCs w:val="10"/>
                <w:color w:val="auto"/>
              </w:rPr>
            </w:pPr>
          </w:p>
        </w:tc>
        <w:tc>
          <w:tcPr>
            <w:tcW w:w="3120" w:type="dxa"/>
            <w:vAlign w:val="bottom"/>
          </w:tcPr>
          <w:p>
            <w:pPr>
              <w:spacing w:after="0"/>
              <w:rPr>
                <w:sz w:val="20"/>
                <w:szCs w:val="20"/>
                <w:color w:val="auto"/>
              </w:rPr>
            </w:pPr>
            <w:r>
              <w:rPr>
                <w:rFonts w:ascii="Arial" w:cs="Arial" w:eastAsia="Arial" w:hAnsi="Arial"/>
                <w:sz w:val="10"/>
                <w:szCs w:val="10"/>
                <w:b w:val="1"/>
                <w:bCs w:val="1"/>
                <w:color w:val="479EFF"/>
              </w:rPr>
              <w:t>Samuel Meckey</w:t>
            </w: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11/8/2018</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4,253</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362,058</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4,028</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342,904</w:t>
            </w: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5,370</w:t>
            </w:r>
            <w:r>
              <w:rPr>
                <w:rFonts w:ascii="Arial" w:cs="Arial" w:eastAsia="Arial" w:hAnsi="Arial"/>
                <w:sz w:val="15"/>
                <w:szCs w:val="15"/>
                <w:color w:val="auto"/>
                <w:vertAlign w:val="superscript"/>
              </w:rPr>
              <w:t>(a)</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457,148</w:t>
            </w:r>
          </w:p>
        </w:tc>
      </w:tr>
      <w:tr>
        <w:trPr>
          <w:trHeight w:val="181"/>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2/20/2019</w:t>
            </w: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right"/>
              <w:ind w:right="308"/>
              <w:spacing w:after="0"/>
              <w:rPr>
                <w:sz w:val="20"/>
                <w:szCs w:val="20"/>
                <w:color w:val="auto"/>
              </w:rPr>
            </w:pPr>
            <w:r>
              <w:rPr>
                <w:rFonts w:ascii="Arial" w:cs="Arial" w:eastAsia="Arial" w:hAnsi="Arial"/>
                <w:sz w:val="10"/>
                <w:szCs w:val="10"/>
                <w:color w:val="auto"/>
              </w:rPr>
              <w:t>5370</w:t>
            </w:r>
            <w:r>
              <w:rPr>
                <w:rFonts w:ascii="Arial" w:cs="Arial" w:eastAsia="Arial" w:hAnsi="Arial"/>
                <w:sz w:val="15"/>
                <w:szCs w:val="15"/>
                <w:color w:val="auto"/>
                <w:vertAlign w:val="superscript"/>
              </w:rPr>
              <w:t>(b)</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457,148</w:t>
            </w:r>
          </w:p>
        </w:tc>
      </w:tr>
      <w:tr>
        <w:trPr>
          <w:trHeight w:val="124"/>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Pr>
          <w:p>
            <w:pPr>
              <w:jc w:val="right"/>
              <w:ind w:right="448"/>
              <w:spacing w:after="0"/>
              <w:rPr>
                <w:sz w:val="20"/>
                <w:szCs w:val="20"/>
                <w:color w:val="auto"/>
              </w:rPr>
            </w:pPr>
            <w:r>
              <w:rPr>
                <w:rFonts w:ascii="Arial" w:cs="Arial" w:eastAsia="Arial" w:hAnsi="Arial"/>
                <w:sz w:val="10"/>
                <w:szCs w:val="10"/>
                <w:color w:val="auto"/>
              </w:rPr>
              <w:t>6,565</w:t>
            </w:r>
          </w:p>
        </w:tc>
        <w:tc>
          <w:tcPr>
            <w:tcW w:w="1280" w:type="dxa"/>
            <w:vAlign w:val="bottom"/>
          </w:tcPr>
          <w:p>
            <w:pPr>
              <w:jc w:val="right"/>
              <w:ind w:right="348"/>
              <w:spacing w:after="0"/>
              <w:rPr>
                <w:sz w:val="20"/>
                <w:szCs w:val="20"/>
                <w:color w:val="auto"/>
              </w:rPr>
            </w:pPr>
            <w:r>
              <w:rPr>
                <w:rFonts w:ascii="Arial" w:cs="Arial" w:eastAsia="Arial" w:hAnsi="Arial"/>
                <w:sz w:val="10"/>
                <w:szCs w:val="10"/>
                <w:color w:val="auto"/>
              </w:rPr>
              <w:t>558,878</w:t>
            </w: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20" w:type="dxa"/>
            <w:vAlign w:val="bottom"/>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308"/>
              <w:spacing w:after="0" w:line="162" w:lineRule="exact"/>
              <w:rPr>
                <w:sz w:val="20"/>
                <w:szCs w:val="20"/>
                <w:color w:val="auto"/>
              </w:rPr>
            </w:pPr>
            <w:r>
              <w:rPr>
                <w:rFonts w:ascii="Arial" w:cs="Arial" w:eastAsia="Arial" w:hAnsi="Arial"/>
                <w:sz w:val="10"/>
                <w:szCs w:val="10"/>
                <w:color w:val="auto"/>
              </w:rPr>
              <w:t>3,283</w:t>
            </w:r>
            <w:r>
              <w:rPr>
                <w:rFonts w:ascii="Arial" w:cs="Arial" w:eastAsia="Arial" w:hAnsi="Arial"/>
                <w:sz w:val="15"/>
                <w:szCs w:val="15"/>
                <w:color w:val="auto"/>
                <w:vertAlign w:val="superscript"/>
              </w:rPr>
              <w:t>(c)</w:t>
            </w:r>
          </w:p>
        </w:tc>
        <w:tc>
          <w:tcPr>
            <w:tcW w:w="1160" w:type="dxa"/>
            <w:vAlign w:val="bottom"/>
          </w:tcPr>
          <w:p>
            <w:pPr>
              <w:jc w:val="right"/>
              <w:ind w:right="248"/>
              <w:spacing w:after="0"/>
              <w:rPr>
                <w:sz w:val="20"/>
                <w:szCs w:val="20"/>
                <w:color w:val="auto"/>
              </w:rPr>
            </w:pPr>
            <w:r>
              <w:rPr>
                <w:rFonts w:ascii="Arial" w:cs="Arial" w:eastAsia="Arial" w:hAnsi="Arial"/>
                <w:sz w:val="10"/>
                <w:szCs w:val="10"/>
                <w:color w:val="auto"/>
              </w:rPr>
              <w:t>279,482</w:t>
            </w:r>
          </w:p>
        </w:tc>
      </w:tr>
      <w:tr>
        <w:trPr>
          <w:trHeight w:val="139"/>
        </w:trPr>
        <w:tc>
          <w:tcPr>
            <w:tcW w:w="20" w:type="dxa"/>
            <w:vAlign w:val="bottom"/>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rPr>
              <w:t>2/19/2020</w:t>
            </w:r>
          </w:p>
        </w:tc>
        <w:tc>
          <w:tcPr>
            <w:tcW w:w="1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08"/>
              <w:spacing w:after="0" w:line="138" w:lineRule="exact"/>
              <w:rPr>
                <w:sz w:val="20"/>
                <w:szCs w:val="20"/>
                <w:color w:val="auto"/>
              </w:rPr>
            </w:pPr>
            <w:r>
              <w:rPr>
                <w:rFonts w:ascii="Arial" w:cs="Arial" w:eastAsia="Arial" w:hAnsi="Arial"/>
                <w:sz w:val="10"/>
                <w:szCs w:val="10"/>
                <w:color w:val="auto"/>
              </w:rPr>
              <w:t>3,282</w:t>
            </w:r>
            <w:r>
              <w:rPr>
                <w:rFonts w:ascii="Arial" w:cs="Arial" w:eastAsia="Arial" w:hAnsi="Arial"/>
                <w:sz w:val="15"/>
                <w:szCs w:val="15"/>
                <w:color w:val="auto"/>
                <w:vertAlign w:val="superscript"/>
              </w:rPr>
              <w:t>(d)</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rPr>
              <w:t>279,397</w:t>
            </w:r>
          </w:p>
        </w:tc>
      </w:tr>
    </w:tbl>
    <w:p>
      <w:pPr>
        <w:spacing w:after="0" w:line="159" w:lineRule="exact"/>
        <w:rPr>
          <w:sz w:val="20"/>
          <w:szCs w:val="20"/>
          <w:color w:val="auto"/>
        </w:rPr>
      </w:pPr>
    </w:p>
    <w:p>
      <w:pPr>
        <w:ind w:left="2" w:hanging="2"/>
        <w:spacing w:after="0" w:line="262" w:lineRule="auto"/>
        <w:tabs>
          <w:tab w:leader="none" w:pos="158" w:val="left"/>
        </w:tabs>
        <w:numPr>
          <w:ilvl w:val="0"/>
          <w:numId w:val="80"/>
        </w:numPr>
        <w:rPr>
          <w:rFonts w:ascii="Arial" w:cs="Arial" w:eastAsia="Arial" w:hAnsi="Arial"/>
          <w:sz w:val="10"/>
          <w:szCs w:val="10"/>
          <w:color w:val="auto"/>
        </w:rPr>
      </w:pPr>
      <w:r>
        <w:rPr>
          <w:rFonts w:ascii="Arial" w:cs="Arial" w:eastAsia="Arial" w:hAnsi="Arial"/>
          <w:sz w:val="10"/>
          <w:szCs w:val="10"/>
          <w:color w:val="auto"/>
        </w:rPr>
        <w:t>The restricted stock unit awards in this table vest and convert to shares in accordance with the following schedule (generally subject to continued employment through each applicable vesting date): 25% of the restricted stock units vest on each of the first, second, third and fourth anniversaries of the grant date.</w:t>
      </w:r>
    </w:p>
    <w:p>
      <w:pPr>
        <w:spacing w:after="0" w:line="137" w:lineRule="exact"/>
        <w:rPr>
          <w:rFonts w:ascii="Arial" w:cs="Arial" w:eastAsia="Arial" w:hAnsi="Arial"/>
          <w:sz w:val="10"/>
          <w:szCs w:val="10"/>
          <w:color w:val="auto"/>
        </w:rPr>
      </w:pPr>
    </w:p>
    <w:p>
      <w:pPr>
        <w:ind w:left="2" w:right="180" w:hanging="2"/>
        <w:spacing w:after="0" w:line="262" w:lineRule="auto"/>
        <w:tabs>
          <w:tab w:leader="none" w:pos="158" w:val="left"/>
        </w:tabs>
        <w:numPr>
          <w:ilvl w:val="0"/>
          <w:numId w:val="80"/>
        </w:numPr>
        <w:rPr>
          <w:rFonts w:ascii="Arial" w:cs="Arial" w:eastAsia="Arial" w:hAnsi="Arial"/>
          <w:sz w:val="10"/>
          <w:szCs w:val="10"/>
          <w:color w:val="auto"/>
        </w:rPr>
      </w:pPr>
      <w:r>
        <w:rPr>
          <w:rFonts w:ascii="Arial" w:cs="Arial" w:eastAsia="Arial" w:hAnsi="Arial"/>
          <w:sz w:val="10"/>
          <w:szCs w:val="10"/>
          <w:color w:val="auto"/>
        </w:rPr>
        <w:t>The performance restricted stock unit awards in this table vest and convert to shares in accordance with the following schedules (generally subject to continued employment through the applicable vesting date and achievement of applicable performance goals):</w:t>
      </w:r>
    </w:p>
    <w:p>
      <w:pPr>
        <w:spacing w:after="0" w:line="137" w:lineRule="exact"/>
        <w:rPr>
          <w:rFonts w:ascii="Arial" w:cs="Arial" w:eastAsia="Arial" w:hAnsi="Arial"/>
          <w:sz w:val="10"/>
          <w:szCs w:val="10"/>
          <w:color w:val="auto"/>
        </w:rPr>
      </w:pPr>
    </w:p>
    <w:p>
      <w:pPr>
        <w:ind w:left="542" w:hanging="153"/>
        <w:spacing w:after="0"/>
        <w:tabs>
          <w:tab w:leader="none" w:pos="542" w:val="left"/>
        </w:tabs>
        <w:numPr>
          <w:ilvl w:val="1"/>
          <w:numId w:val="80"/>
        </w:numPr>
        <w:rPr>
          <w:rFonts w:ascii="Arial" w:cs="Arial" w:eastAsia="Arial" w:hAnsi="Arial"/>
          <w:sz w:val="10"/>
          <w:szCs w:val="10"/>
          <w:color w:val="auto"/>
        </w:rPr>
      </w:pPr>
      <w:r>
        <w:rPr>
          <w:rFonts w:ascii="Arial" w:cs="Arial" w:eastAsia="Arial" w:hAnsi="Arial"/>
          <w:sz w:val="10"/>
          <w:szCs w:val="10"/>
          <w:color w:val="auto"/>
        </w:rPr>
        <w:t>100% of the restricted stock units vest on December 31, 2021. This amount represents the 2019 Revenue-Linked PRSUs and reflects maximum performance.</w:t>
      </w:r>
    </w:p>
    <w:p>
      <w:pPr>
        <w:spacing w:after="0" w:line="157" w:lineRule="exact"/>
        <w:rPr>
          <w:rFonts w:ascii="Arial" w:cs="Arial" w:eastAsia="Arial" w:hAnsi="Arial"/>
          <w:sz w:val="10"/>
          <w:szCs w:val="10"/>
          <w:color w:val="auto"/>
        </w:rPr>
      </w:pPr>
    </w:p>
    <w:p>
      <w:pPr>
        <w:ind w:left="542" w:hanging="153"/>
        <w:spacing w:after="0"/>
        <w:tabs>
          <w:tab w:leader="none" w:pos="542" w:val="left"/>
        </w:tabs>
        <w:numPr>
          <w:ilvl w:val="1"/>
          <w:numId w:val="80"/>
        </w:numPr>
        <w:rPr>
          <w:rFonts w:ascii="Arial" w:cs="Arial" w:eastAsia="Arial" w:hAnsi="Arial"/>
          <w:sz w:val="10"/>
          <w:szCs w:val="10"/>
          <w:color w:val="auto"/>
        </w:rPr>
      </w:pPr>
      <w:r>
        <w:rPr>
          <w:rFonts w:ascii="Arial" w:cs="Arial" w:eastAsia="Arial" w:hAnsi="Arial"/>
          <w:sz w:val="10"/>
          <w:szCs w:val="10"/>
          <w:color w:val="auto"/>
        </w:rPr>
        <w:t>100% of the restricted stock units vest on December 31, 2021. This amount represents the 2019 Relative TSR-Linked PRSUs and reflects maximum performance.</w:t>
      </w:r>
    </w:p>
    <w:p>
      <w:pPr>
        <w:spacing w:after="0" w:line="157" w:lineRule="exact"/>
        <w:rPr>
          <w:rFonts w:ascii="Arial" w:cs="Arial" w:eastAsia="Arial" w:hAnsi="Arial"/>
          <w:sz w:val="10"/>
          <w:szCs w:val="10"/>
          <w:color w:val="auto"/>
        </w:rPr>
      </w:pPr>
    </w:p>
    <w:p>
      <w:pPr>
        <w:ind w:left="542" w:hanging="153"/>
        <w:spacing w:after="0"/>
        <w:tabs>
          <w:tab w:leader="none" w:pos="542" w:val="left"/>
        </w:tabs>
        <w:numPr>
          <w:ilvl w:val="1"/>
          <w:numId w:val="80"/>
        </w:numPr>
        <w:rPr>
          <w:rFonts w:ascii="Arial" w:cs="Arial" w:eastAsia="Arial" w:hAnsi="Arial"/>
          <w:sz w:val="10"/>
          <w:szCs w:val="10"/>
          <w:color w:val="auto"/>
        </w:rPr>
      </w:pPr>
      <w:r>
        <w:rPr>
          <w:rFonts w:ascii="Arial" w:cs="Arial" w:eastAsia="Arial" w:hAnsi="Arial"/>
          <w:sz w:val="10"/>
          <w:szCs w:val="10"/>
          <w:color w:val="auto"/>
        </w:rPr>
        <w:t>100% of the restricted stock units vest on December 31, 2022. This amount represents 2020 Revenue-Linked PRSUs and reflects target performance.</w:t>
      </w:r>
    </w:p>
    <w:p>
      <w:pPr>
        <w:spacing w:after="0" w:line="157" w:lineRule="exact"/>
        <w:rPr>
          <w:rFonts w:ascii="Arial" w:cs="Arial" w:eastAsia="Arial" w:hAnsi="Arial"/>
          <w:sz w:val="10"/>
          <w:szCs w:val="10"/>
          <w:color w:val="auto"/>
        </w:rPr>
      </w:pPr>
    </w:p>
    <w:p>
      <w:pPr>
        <w:ind w:left="542" w:hanging="153"/>
        <w:spacing w:after="0"/>
        <w:tabs>
          <w:tab w:leader="none" w:pos="542" w:val="left"/>
        </w:tabs>
        <w:numPr>
          <w:ilvl w:val="1"/>
          <w:numId w:val="80"/>
        </w:numPr>
        <w:rPr>
          <w:rFonts w:ascii="Arial" w:cs="Arial" w:eastAsia="Arial" w:hAnsi="Arial"/>
          <w:sz w:val="10"/>
          <w:szCs w:val="10"/>
          <w:color w:val="auto"/>
        </w:rPr>
      </w:pPr>
      <w:r>
        <w:rPr>
          <w:rFonts w:ascii="Arial" w:cs="Arial" w:eastAsia="Arial" w:hAnsi="Arial"/>
          <w:sz w:val="10"/>
          <w:szCs w:val="10"/>
          <w:color w:val="auto"/>
        </w:rPr>
        <w:t>100% of the restricted stock units vest on December 31, 2022. This amount represents 2020 Relative TSR-Linked PRSUs and reflects target performance.</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80"/>
        </w:numPr>
        <w:rPr>
          <w:rFonts w:ascii="Arial" w:cs="Arial" w:eastAsia="Arial" w:hAnsi="Arial"/>
          <w:sz w:val="10"/>
          <w:szCs w:val="10"/>
          <w:color w:val="auto"/>
        </w:rPr>
      </w:pPr>
      <w:r>
        <w:rPr>
          <w:rFonts w:ascii="Arial" w:cs="Arial" w:eastAsia="Arial" w:hAnsi="Arial"/>
          <w:sz w:val="10"/>
          <w:szCs w:val="10"/>
          <w:color w:val="auto"/>
        </w:rPr>
        <w:t>The price used in determining the market values set forth in this table is $85.13, which was the closing price of our stock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1408430" cy="3333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2"/>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241300</wp:posOffset>
            </wp:positionV>
            <wp:extent cx="7177405" cy="190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2"/>
          </w:cols>
          <w:pgMar w:left="298" w:top="142" w:right="319" w:bottom="1440" w:gutter="0" w:footer="0" w:header="0"/>
        </w:sectPr>
      </w:pPr>
    </w:p>
    <w:bookmarkStart w:id="93" w:name="page94"/>
    <w:bookmarkEnd w:id="93"/>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842"/>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479EFF"/>
        </w:rPr>
        <w:t>Option Exercises and Stock Vested During Fiscal Year 2020</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table provides additional information about the value realized by our named executive officers on option award exercises and stock award vesting during fiscal year 2020:</w:t>
      </w:r>
    </w:p>
    <w:p>
      <w:pPr>
        <w:spacing w:after="0" w:line="150"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2060" w:type="dxa"/>
            <w:vAlign w:val="bottom"/>
          </w:tcPr>
          <w:p>
            <w:pPr>
              <w:spacing w:after="0"/>
              <w:rPr>
                <w:sz w:val="13"/>
                <w:szCs w:val="13"/>
                <w:color w:val="auto"/>
              </w:rPr>
            </w:pPr>
          </w:p>
        </w:tc>
        <w:tc>
          <w:tcPr>
            <w:tcW w:w="100" w:type="dxa"/>
            <w:vAlign w:val="bottom"/>
            <w:tcBorders>
              <w:right w:val="single" w:sz="8" w:color="479EFF"/>
            </w:tcBorders>
          </w:tcPr>
          <w:p>
            <w:pPr>
              <w:spacing w:after="0"/>
              <w:rPr>
                <w:sz w:val="13"/>
                <w:szCs w:val="13"/>
                <w:color w:val="auto"/>
              </w:rPr>
            </w:pPr>
          </w:p>
        </w:tc>
        <w:tc>
          <w:tcPr>
            <w:tcW w:w="2840" w:type="dxa"/>
            <w:vAlign w:val="bottom"/>
            <w:gridSpan w:val="3"/>
            <w:shd w:val="clear" w:color="auto" w:fill="479EFF"/>
          </w:tcPr>
          <w:p>
            <w:pPr>
              <w:ind w:left="1860"/>
              <w:spacing w:after="0"/>
              <w:rPr>
                <w:sz w:val="20"/>
                <w:szCs w:val="20"/>
                <w:color w:val="auto"/>
              </w:rPr>
            </w:pPr>
            <w:r>
              <w:rPr>
                <w:rFonts w:ascii="Arial" w:cs="Arial" w:eastAsia="Arial" w:hAnsi="Arial"/>
                <w:sz w:val="13"/>
                <w:szCs w:val="13"/>
                <w:b w:val="1"/>
                <w:bCs w:val="1"/>
                <w:color w:val="FFFFFE"/>
              </w:rPr>
              <w:t>Option Awards</w:t>
            </w:r>
          </w:p>
        </w:tc>
        <w:tc>
          <w:tcPr>
            <w:tcW w:w="1760" w:type="dxa"/>
            <w:vAlign w:val="bottom"/>
            <w:tcBorders>
              <w:right w:val="single" w:sz="8" w:color="479EFF"/>
            </w:tcBorders>
            <w:shd w:val="clear" w:color="auto" w:fill="479EFF"/>
          </w:tcPr>
          <w:p>
            <w:pPr>
              <w:spacing w:after="0"/>
              <w:rPr>
                <w:sz w:val="13"/>
                <w:szCs w:val="13"/>
                <w:color w:val="auto"/>
              </w:rPr>
            </w:pPr>
          </w:p>
        </w:tc>
        <w:tc>
          <w:tcPr>
            <w:tcW w:w="60" w:type="dxa"/>
            <w:vAlign w:val="bottom"/>
            <w:tcBorders>
              <w:right w:val="single" w:sz="8" w:color="479EFF"/>
            </w:tcBorders>
            <w:shd w:val="clear" w:color="auto" w:fill="479EFF"/>
          </w:tcPr>
          <w:p>
            <w:pPr>
              <w:spacing w:after="0"/>
              <w:rPr>
                <w:sz w:val="13"/>
                <w:szCs w:val="13"/>
                <w:color w:val="auto"/>
              </w:rPr>
            </w:pPr>
          </w:p>
        </w:tc>
        <w:tc>
          <w:tcPr>
            <w:tcW w:w="1740" w:type="dxa"/>
            <w:vAlign w:val="bottom"/>
            <w:shd w:val="clear" w:color="auto" w:fill="479EFF"/>
          </w:tcPr>
          <w:p>
            <w:pPr>
              <w:spacing w:after="0"/>
              <w:rPr>
                <w:sz w:val="13"/>
                <w:szCs w:val="13"/>
                <w:color w:val="auto"/>
              </w:rPr>
            </w:pPr>
          </w:p>
        </w:tc>
        <w:tc>
          <w:tcPr>
            <w:tcW w:w="2740" w:type="dxa"/>
            <w:vAlign w:val="bottom"/>
            <w:gridSpan w:val="3"/>
            <w:shd w:val="clear" w:color="auto" w:fill="479EFF"/>
          </w:tcPr>
          <w:p>
            <w:pPr>
              <w:ind w:left="80"/>
              <w:spacing w:after="0"/>
              <w:rPr>
                <w:sz w:val="20"/>
                <w:szCs w:val="20"/>
                <w:color w:val="auto"/>
              </w:rPr>
            </w:pPr>
            <w:r>
              <w:rPr>
                <w:rFonts w:ascii="Arial" w:cs="Arial" w:eastAsia="Arial" w:hAnsi="Arial"/>
                <w:sz w:val="13"/>
                <w:szCs w:val="13"/>
                <w:b w:val="1"/>
                <w:bCs w:val="1"/>
                <w:color w:val="FFFFFE"/>
              </w:rPr>
              <w:t>Stock Awards</w:t>
            </w:r>
          </w:p>
        </w:tc>
      </w:tr>
      <w:tr>
        <w:trPr>
          <w:trHeight w:val="307"/>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479EFF"/>
                <w:w w:val="96"/>
              </w:rPr>
              <w:t>Number of Shares</w:t>
            </w:r>
          </w:p>
        </w:tc>
        <w:tc>
          <w:tcPr>
            <w:tcW w:w="182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479EFF"/>
                <w:w w:val="97"/>
              </w:rPr>
              <w:t>Value Realized on</w:t>
            </w:r>
          </w:p>
        </w:tc>
        <w:tc>
          <w:tcPr>
            <w:tcW w:w="1740" w:type="dxa"/>
            <w:vAlign w:val="bottom"/>
          </w:tcPr>
          <w:p>
            <w:pPr>
              <w:jc w:val="center"/>
              <w:ind w:left="397"/>
              <w:spacing w:after="0"/>
              <w:rPr>
                <w:sz w:val="20"/>
                <w:szCs w:val="20"/>
                <w:color w:val="auto"/>
              </w:rPr>
            </w:pPr>
            <w:r>
              <w:rPr>
                <w:rFonts w:ascii="Arial" w:cs="Arial" w:eastAsia="Arial" w:hAnsi="Arial"/>
                <w:sz w:val="13"/>
                <w:szCs w:val="13"/>
                <w:b w:val="1"/>
                <w:bCs w:val="1"/>
                <w:color w:val="479EFF"/>
                <w:w w:val="96"/>
              </w:rPr>
              <w:t>Number of Shares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ind w:left="560"/>
              <w:spacing w:after="0"/>
              <w:rPr>
                <w:sz w:val="20"/>
                <w:szCs w:val="20"/>
                <w:color w:val="auto"/>
              </w:rPr>
            </w:pPr>
            <w:r>
              <w:rPr>
                <w:rFonts w:ascii="Arial" w:cs="Arial" w:eastAsia="Arial" w:hAnsi="Arial"/>
                <w:sz w:val="13"/>
                <w:szCs w:val="13"/>
                <w:b w:val="1"/>
                <w:bCs w:val="1"/>
                <w:color w:val="479EFF"/>
              </w:rPr>
              <w:t>Value Realized on</w:t>
            </w:r>
          </w:p>
        </w:tc>
      </w:tr>
      <w:tr>
        <w:trPr>
          <w:trHeight w:val="146"/>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3"/>
          </w:tcPr>
          <w:p>
            <w:pPr>
              <w:jc w:val="center"/>
              <w:ind w:right="500"/>
              <w:spacing w:after="0" w:line="146" w:lineRule="exact"/>
              <w:rPr>
                <w:sz w:val="20"/>
                <w:szCs w:val="20"/>
                <w:color w:val="auto"/>
              </w:rPr>
            </w:pPr>
            <w:r>
              <w:rPr>
                <w:rFonts w:ascii="Arial" w:cs="Arial" w:eastAsia="Arial" w:hAnsi="Arial"/>
                <w:sz w:val="13"/>
                <w:szCs w:val="13"/>
                <w:b w:val="1"/>
                <w:bCs w:val="1"/>
                <w:color w:val="479EFF"/>
                <w:w w:val="97"/>
              </w:rPr>
              <w:t>Acquired on</w:t>
            </w:r>
          </w:p>
        </w:tc>
        <w:tc>
          <w:tcPr>
            <w:tcW w:w="1820" w:type="dxa"/>
            <w:vAlign w:val="bottom"/>
            <w:gridSpan w:val="2"/>
          </w:tcPr>
          <w:p>
            <w:pPr>
              <w:jc w:val="center"/>
              <w:ind w:right="580"/>
              <w:spacing w:after="0" w:line="146" w:lineRule="exact"/>
              <w:rPr>
                <w:sz w:val="20"/>
                <w:szCs w:val="20"/>
                <w:color w:val="auto"/>
              </w:rPr>
            </w:pPr>
            <w:r>
              <w:rPr>
                <w:rFonts w:ascii="Arial" w:cs="Arial" w:eastAsia="Arial" w:hAnsi="Arial"/>
                <w:sz w:val="13"/>
                <w:szCs w:val="13"/>
                <w:b w:val="1"/>
                <w:bCs w:val="1"/>
                <w:color w:val="479EFF"/>
                <w:w w:val="97"/>
              </w:rPr>
              <w:t>Exercise</w:t>
            </w:r>
          </w:p>
        </w:tc>
        <w:tc>
          <w:tcPr>
            <w:tcW w:w="1740" w:type="dxa"/>
            <w:vAlign w:val="bottom"/>
          </w:tcPr>
          <w:p>
            <w:pPr>
              <w:jc w:val="center"/>
              <w:ind w:left="377"/>
              <w:spacing w:after="0" w:line="146" w:lineRule="exact"/>
              <w:rPr>
                <w:sz w:val="20"/>
                <w:szCs w:val="20"/>
                <w:color w:val="auto"/>
              </w:rPr>
            </w:pPr>
            <w:r>
              <w:rPr>
                <w:rFonts w:ascii="Arial" w:cs="Arial" w:eastAsia="Arial" w:hAnsi="Arial"/>
                <w:sz w:val="13"/>
                <w:szCs w:val="13"/>
                <w:b w:val="1"/>
                <w:bCs w:val="1"/>
                <w:color w:val="479EFF"/>
                <w:w w:val="97"/>
              </w:rPr>
              <w:t>Acquired on</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ind w:left="860"/>
              <w:spacing w:after="0" w:line="146" w:lineRule="exact"/>
              <w:rPr>
                <w:sz w:val="20"/>
                <w:szCs w:val="20"/>
                <w:color w:val="auto"/>
              </w:rPr>
            </w:pPr>
            <w:r>
              <w:rPr>
                <w:rFonts w:ascii="Arial" w:cs="Arial" w:eastAsia="Arial" w:hAnsi="Arial"/>
                <w:sz w:val="13"/>
                <w:szCs w:val="13"/>
                <w:b w:val="1"/>
                <w:bCs w:val="1"/>
                <w:color w:val="479EFF"/>
              </w:rPr>
              <w:t>Vesting</w:t>
            </w:r>
          </w:p>
        </w:tc>
      </w:tr>
      <w:tr>
        <w:trPr>
          <w:trHeight w:val="169"/>
        </w:trPr>
        <w:tc>
          <w:tcPr>
            <w:tcW w:w="2160" w:type="dxa"/>
            <w:vAlign w:val="bottom"/>
            <w:tcBorders>
              <w:bottom w:val="single" w:sz="8" w:color="479EFF"/>
            </w:tcBorders>
            <w:gridSpan w:val="2"/>
          </w:tcPr>
          <w:p>
            <w:pPr>
              <w:spacing w:after="0"/>
              <w:rPr>
                <w:sz w:val="20"/>
                <w:szCs w:val="20"/>
                <w:color w:val="auto"/>
              </w:rPr>
            </w:pPr>
            <w:r>
              <w:rPr>
                <w:rFonts w:ascii="Arial" w:cs="Arial" w:eastAsia="Arial" w:hAnsi="Arial"/>
                <w:sz w:val="13"/>
                <w:szCs w:val="13"/>
                <w:b w:val="1"/>
                <w:bCs w:val="1"/>
                <w:color w:val="479EFF"/>
              </w:rPr>
              <w:t>Name</w:t>
            </w:r>
          </w:p>
        </w:tc>
        <w:tc>
          <w:tcPr>
            <w:tcW w:w="2840" w:type="dxa"/>
            <w:vAlign w:val="bottom"/>
            <w:tcBorders>
              <w:bottom w:val="single" w:sz="8" w:color="479EFF"/>
            </w:tcBorders>
            <w:gridSpan w:val="3"/>
          </w:tcPr>
          <w:p>
            <w:pPr>
              <w:jc w:val="center"/>
              <w:ind w:right="520"/>
              <w:spacing w:after="0"/>
              <w:rPr>
                <w:sz w:val="20"/>
                <w:szCs w:val="20"/>
                <w:color w:val="auto"/>
              </w:rPr>
            </w:pPr>
            <w:r>
              <w:rPr>
                <w:rFonts w:ascii="Arial" w:cs="Arial" w:eastAsia="Arial" w:hAnsi="Arial"/>
                <w:sz w:val="13"/>
                <w:szCs w:val="13"/>
                <w:b w:val="1"/>
                <w:bCs w:val="1"/>
                <w:color w:val="479EFF"/>
                <w:w w:val="97"/>
              </w:rPr>
              <w:t>Exercise</w:t>
            </w:r>
          </w:p>
        </w:tc>
        <w:tc>
          <w:tcPr>
            <w:tcW w:w="1760" w:type="dxa"/>
            <w:vAlign w:val="bottom"/>
            <w:tcBorders>
              <w:bottom w:val="single" w:sz="8" w:color="479EFF"/>
            </w:tcBorders>
          </w:tcPr>
          <w:p>
            <w:pPr>
              <w:jc w:val="center"/>
              <w:ind w:right="457"/>
              <w:spacing w:after="0"/>
              <w:rPr>
                <w:sz w:val="20"/>
                <w:szCs w:val="20"/>
                <w:color w:val="auto"/>
              </w:rPr>
            </w:pPr>
            <w:r>
              <w:rPr>
                <w:rFonts w:ascii="Arial" w:cs="Arial" w:eastAsia="Arial" w:hAnsi="Arial"/>
                <w:sz w:val="13"/>
                <w:szCs w:val="13"/>
                <w:b w:val="1"/>
                <w:bCs w:val="1"/>
                <w:color w:val="479EFF"/>
              </w:rPr>
              <w:t>($)</w:t>
            </w:r>
          </w:p>
        </w:tc>
        <w:tc>
          <w:tcPr>
            <w:tcW w:w="60" w:type="dxa"/>
            <w:vAlign w:val="bottom"/>
            <w:tcBorders>
              <w:bottom w:val="single" w:sz="8" w:color="479EFF"/>
            </w:tcBorders>
          </w:tcPr>
          <w:p>
            <w:pPr>
              <w:spacing w:after="0"/>
              <w:rPr>
                <w:sz w:val="14"/>
                <w:szCs w:val="14"/>
                <w:color w:val="auto"/>
              </w:rPr>
            </w:pPr>
          </w:p>
        </w:tc>
        <w:tc>
          <w:tcPr>
            <w:tcW w:w="1740" w:type="dxa"/>
            <w:vAlign w:val="bottom"/>
            <w:tcBorders>
              <w:bottom w:val="single" w:sz="8" w:color="479EFF"/>
            </w:tcBorders>
          </w:tcPr>
          <w:p>
            <w:pPr>
              <w:jc w:val="center"/>
              <w:ind w:left="397"/>
              <w:spacing w:after="0"/>
              <w:rPr>
                <w:sz w:val="20"/>
                <w:szCs w:val="20"/>
                <w:color w:val="auto"/>
              </w:rPr>
            </w:pPr>
            <w:r>
              <w:rPr>
                <w:rFonts w:ascii="Arial" w:cs="Arial" w:eastAsia="Arial" w:hAnsi="Arial"/>
                <w:sz w:val="13"/>
                <w:szCs w:val="13"/>
                <w:b w:val="1"/>
                <w:bCs w:val="1"/>
                <w:color w:val="479EFF"/>
                <w:w w:val="93"/>
              </w:rPr>
              <w:t>Vesting</w:t>
            </w:r>
          </w:p>
        </w:tc>
        <w:tc>
          <w:tcPr>
            <w:tcW w:w="2740" w:type="dxa"/>
            <w:vAlign w:val="bottom"/>
            <w:tcBorders>
              <w:bottom w:val="single" w:sz="8" w:color="479EFF"/>
            </w:tcBorders>
            <w:gridSpan w:val="3"/>
          </w:tcPr>
          <w:p>
            <w:pPr>
              <w:jc w:val="center"/>
              <w:ind w:left="497"/>
              <w:spacing w:after="0"/>
              <w:rPr>
                <w:sz w:val="20"/>
                <w:szCs w:val="20"/>
                <w:color w:val="auto"/>
              </w:rPr>
            </w:pPr>
            <w:r>
              <w:rPr>
                <w:rFonts w:ascii="Arial" w:cs="Arial" w:eastAsia="Arial" w:hAnsi="Arial"/>
                <w:sz w:val="13"/>
                <w:szCs w:val="13"/>
                <w:b w:val="1"/>
                <w:bCs w:val="1"/>
                <w:color w:val="479EFF"/>
                <w:w w:val="87"/>
              </w:rPr>
              <w:t>($)</w:t>
            </w:r>
          </w:p>
        </w:tc>
      </w:tr>
      <w:tr>
        <w:trPr>
          <w:trHeight w:val="146"/>
        </w:trPr>
        <w:tc>
          <w:tcPr>
            <w:tcW w:w="2160" w:type="dxa"/>
            <w:vAlign w:val="bottom"/>
            <w:tcBorders>
              <w:bottom w:val="single" w:sz="8" w:color="auto"/>
              <w:right w:val="single" w:sz="8" w:color="auto"/>
            </w:tcBorders>
            <w:gridSpan w:val="2"/>
          </w:tcPr>
          <w:p>
            <w:pPr>
              <w:spacing w:after="0" w:line="146" w:lineRule="exact"/>
              <w:rPr>
                <w:sz w:val="20"/>
                <w:szCs w:val="20"/>
                <w:color w:val="auto"/>
              </w:rPr>
            </w:pPr>
            <w:r>
              <w:rPr>
                <w:rFonts w:ascii="Arial" w:cs="Arial" w:eastAsia="Arial" w:hAnsi="Arial"/>
                <w:sz w:val="13"/>
                <w:szCs w:val="13"/>
                <w:b w:val="1"/>
                <w:bCs w:val="1"/>
                <w:color w:val="auto"/>
              </w:rPr>
              <w:t>Rohit Kapoor</w:t>
            </w:r>
          </w:p>
        </w:tc>
        <w:tc>
          <w:tcPr>
            <w:tcW w:w="23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29,259</w:t>
            </w:r>
          </w:p>
        </w:tc>
        <w:tc>
          <w:tcPr>
            <w:tcW w:w="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center"/>
              <w:ind w:right="457"/>
              <w:spacing w:after="0" w:line="146" w:lineRule="exact"/>
              <w:rPr>
                <w:sz w:val="20"/>
                <w:szCs w:val="20"/>
                <w:color w:val="auto"/>
              </w:rPr>
            </w:pPr>
            <w:r>
              <w:rPr>
                <w:rFonts w:ascii="Arial" w:cs="Arial" w:eastAsia="Arial" w:hAnsi="Arial"/>
                <w:sz w:val="13"/>
                <w:szCs w:val="13"/>
                <w:color w:val="auto"/>
                <w:w w:val="96"/>
              </w:rPr>
              <w:t>1,390,750</w:t>
            </w:r>
          </w:p>
        </w:tc>
        <w:tc>
          <w:tcPr>
            <w:tcW w:w="60" w:type="dxa"/>
            <w:vAlign w:val="bottom"/>
            <w:tcBorders>
              <w:bottom w:val="single" w:sz="8" w:color="auto"/>
              <w:right w:val="single" w:sz="8" w:color="auto"/>
            </w:tcBorders>
          </w:tcPr>
          <w:p>
            <w:pPr>
              <w:spacing w:after="0"/>
              <w:rPr>
                <w:sz w:val="12"/>
                <w:szCs w:val="12"/>
                <w:color w:val="auto"/>
              </w:rPr>
            </w:pPr>
          </w:p>
        </w:tc>
        <w:tc>
          <w:tcPr>
            <w:tcW w:w="1740" w:type="dxa"/>
            <w:vAlign w:val="bottom"/>
            <w:tcBorders>
              <w:bottom w:val="single" w:sz="8" w:color="auto"/>
            </w:tcBorders>
          </w:tcPr>
          <w:p>
            <w:pPr>
              <w:jc w:val="center"/>
              <w:ind w:left="377"/>
              <w:spacing w:after="0" w:line="146" w:lineRule="exact"/>
              <w:rPr>
                <w:sz w:val="20"/>
                <w:szCs w:val="20"/>
                <w:color w:val="auto"/>
              </w:rPr>
            </w:pPr>
            <w:r>
              <w:rPr>
                <w:rFonts w:ascii="Arial" w:cs="Arial" w:eastAsia="Arial" w:hAnsi="Arial"/>
                <w:sz w:val="13"/>
                <w:szCs w:val="13"/>
                <w:color w:val="auto"/>
                <w:w w:val="95"/>
              </w:rPr>
              <w:t>60,335</w:t>
            </w: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rPr>
              <w:t>4,654,983</w:t>
            </w:r>
          </w:p>
        </w:tc>
      </w:tr>
      <w:tr>
        <w:trPr>
          <w:trHeight w:val="136"/>
        </w:trPr>
        <w:tc>
          <w:tcPr>
            <w:tcW w:w="2160" w:type="dxa"/>
            <w:vAlign w:val="bottom"/>
            <w:tcBorders>
              <w:bottom w:val="single" w:sz="8" w:color="auto"/>
              <w:right w:val="single" w:sz="8" w:color="auto"/>
            </w:tcBorders>
            <w:gridSpan w:val="2"/>
          </w:tcPr>
          <w:p>
            <w:pPr>
              <w:spacing w:after="0" w:line="136" w:lineRule="exact"/>
              <w:rPr>
                <w:sz w:val="20"/>
                <w:szCs w:val="20"/>
                <w:color w:val="auto"/>
              </w:rPr>
            </w:pPr>
            <w:r>
              <w:rPr>
                <w:rFonts w:ascii="Arial" w:cs="Arial" w:eastAsia="Arial" w:hAnsi="Arial"/>
                <w:sz w:val="13"/>
                <w:szCs w:val="13"/>
                <w:b w:val="1"/>
                <w:bCs w:val="1"/>
                <w:color w:val="auto"/>
              </w:rPr>
              <w:t>Maurizio Nicolelli</w:t>
            </w:r>
          </w:p>
        </w:tc>
        <w:tc>
          <w:tcPr>
            <w:tcW w:w="2360" w:type="dxa"/>
            <w:vAlign w:val="bottom"/>
            <w:tcBorders>
              <w:bottom w:val="single" w:sz="8" w:color="auto"/>
              <w:right w:val="single" w:sz="8" w:color="auto"/>
            </w:tcBorders>
            <w:gridSpan w:val="2"/>
          </w:tcPr>
          <w:p>
            <w:pPr>
              <w:jc w:val="center"/>
              <w:ind w:right="40"/>
              <w:spacing w:after="0" w:line="136" w:lineRule="exact"/>
              <w:rPr>
                <w:sz w:val="20"/>
                <w:szCs w:val="20"/>
                <w:color w:val="auto"/>
              </w:rPr>
            </w:pPr>
            <w:r>
              <w:rPr>
                <w:rFonts w:ascii="Arial" w:cs="Arial" w:eastAsia="Arial" w:hAnsi="Arial"/>
                <w:sz w:val="13"/>
                <w:szCs w:val="13"/>
                <w:color w:val="auto"/>
                <w:w w:val="91"/>
              </w:rPr>
              <w:t>—</w:t>
            </w:r>
          </w:p>
        </w:tc>
        <w:tc>
          <w:tcPr>
            <w:tcW w:w="48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gridSpan w:val="2"/>
          </w:tcPr>
          <w:p>
            <w:pPr>
              <w:jc w:val="center"/>
              <w:ind w:right="580"/>
              <w:spacing w:after="0" w:line="136" w:lineRule="exact"/>
              <w:rPr>
                <w:sz w:val="20"/>
                <w:szCs w:val="20"/>
                <w:color w:val="auto"/>
              </w:rPr>
            </w:pPr>
            <w:r>
              <w:rPr>
                <w:rFonts w:ascii="Arial" w:cs="Arial" w:eastAsia="Arial" w:hAnsi="Arial"/>
                <w:sz w:val="13"/>
                <w:szCs w:val="13"/>
                <w:color w:val="auto"/>
                <w:w w:val="91"/>
              </w:rPr>
              <w:t>—</w:t>
            </w:r>
          </w:p>
        </w:tc>
        <w:tc>
          <w:tcPr>
            <w:tcW w:w="1740" w:type="dxa"/>
            <w:vAlign w:val="bottom"/>
            <w:tcBorders>
              <w:bottom w:val="single" w:sz="8" w:color="auto"/>
            </w:tcBorders>
          </w:tcPr>
          <w:p>
            <w:pPr>
              <w:jc w:val="center"/>
              <w:ind w:left="397"/>
              <w:spacing w:after="0" w:line="136" w:lineRule="exact"/>
              <w:rPr>
                <w:sz w:val="20"/>
                <w:szCs w:val="20"/>
                <w:color w:val="auto"/>
              </w:rPr>
            </w:pPr>
            <w:r>
              <w:rPr>
                <w:rFonts w:ascii="Arial" w:cs="Arial" w:eastAsia="Arial" w:hAnsi="Arial"/>
                <w:sz w:val="13"/>
                <w:szCs w:val="13"/>
                <w:color w:val="auto"/>
                <w:w w:val="91"/>
              </w:rPr>
              <w:t>—</w:t>
            </w: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color w:val="auto"/>
              </w:rPr>
              <w:t>—</w:t>
            </w:r>
          </w:p>
        </w:tc>
      </w:tr>
      <w:tr>
        <w:trPr>
          <w:trHeight w:val="136"/>
        </w:trPr>
        <w:tc>
          <w:tcPr>
            <w:tcW w:w="2160" w:type="dxa"/>
            <w:vAlign w:val="bottom"/>
            <w:tcBorders>
              <w:bottom w:val="single" w:sz="8" w:color="auto"/>
              <w:right w:val="single" w:sz="8" w:color="auto"/>
            </w:tcBorders>
            <w:gridSpan w:val="2"/>
          </w:tcPr>
          <w:p>
            <w:pPr>
              <w:spacing w:after="0" w:line="136" w:lineRule="exact"/>
              <w:rPr>
                <w:sz w:val="20"/>
                <w:szCs w:val="20"/>
                <w:color w:val="auto"/>
              </w:rPr>
            </w:pPr>
            <w:r>
              <w:rPr>
                <w:rFonts w:ascii="Arial" w:cs="Arial" w:eastAsia="Arial" w:hAnsi="Arial"/>
                <w:sz w:val="13"/>
                <w:szCs w:val="13"/>
                <w:b w:val="1"/>
                <w:bCs w:val="1"/>
                <w:color w:val="auto"/>
              </w:rPr>
              <w:t>Pavan Bagai</w:t>
            </w:r>
          </w:p>
        </w:tc>
        <w:tc>
          <w:tcPr>
            <w:tcW w:w="2360" w:type="dxa"/>
            <w:vAlign w:val="bottom"/>
            <w:tcBorders>
              <w:bottom w:val="single" w:sz="8" w:color="auto"/>
              <w:right w:val="single" w:sz="8" w:color="auto"/>
            </w:tcBorders>
            <w:gridSpan w:val="2"/>
          </w:tcPr>
          <w:p>
            <w:pPr>
              <w:jc w:val="center"/>
              <w:ind w:right="40"/>
              <w:spacing w:after="0" w:line="136" w:lineRule="exact"/>
              <w:rPr>
                <w:sz w:val="20"/>
                <w:szCs w:val="20"/>
                <w:color w:val="auto"/>
              </w:rPr>
            </w:pPr>
            <w:r>
              <w:rPr>
                <w:rFonts w:ascii="Arial" w:cs="Arial" w:eastAsia="Arial" w:hAnsi="Arial"/>
                <w:sz w:val="13"/>
                <w:szCs w:val="13"/>
                <w:color w:val="auto"/>
                <w:w w:val="91"/>
              </w:rPr>
              <w:t>—</w:t>
            </w:r>
          </w:p>
        </w:tc>
        <w:tc>
          <w:tcPr>
            <w:tcW w:w="48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gridSpan w:val="2"/>
          </w:tcPr>
          <w:p>
            <w:pPr>
              <w:jc w:val="center"/>
              <w:ind w:right="580"/>
              <w:spacing w:after="0" w:line="136" w:lineRule="exact"/>
              <w:rPr>
                <w:sz w:val="20"/>
                <w:szCs w:val="20"/>
                <w:color w:val="auto"/>
              </w:rPr>
            </w:pPr>
            <w:r>
              <w:rPr>
                <w:rFonts w:ascii="Arial" w:cs="Arial" w:eastAsia="Arial" w:hAnsi="Arial"/>
                <w:sz w:val="13"/>
                <w:szCs w:val="13"/>
                <w:color w:val="auto"/>
                <w:w w:val="91"/>
              </w:rPr>
              <w:t>—</w:t>
            </w:r>
          </w:p>
        </w:tc>
        <w:tc>
          <w:tcPr>
            <w:tcW w:w="1740" w:type="dxa"/>
            <w:vAlign w:val="bottom"/>
            <w:tcBorders>
              <w:bottom w:val="single" w:sz="8" w:color="auto"/>
            </w:tcBorders>
          </w:tcPr>
          <w:p>
            <w:pPr>
              <w:jc w:val="center"/>
              <w:ind w:left="377"/>
              <w:spacing w:after="0" w:line="136" w:lineRule="exact"/>
              <w:rPr>
                <w:sz w:val="20"/>
                <w:szCs w:val="20"/>
                <w:color w:val="auto"/>
              </w:rPr>
            </w:pPr>
            <w:r>
              <w:rPr>
                <w:rFonts w:ascii="Arial" w:cs="Arial" w:eastAsia="Arial" w:hAnsi="Arial"/>
                <w:sz w:val="13"/>
                <w:szCs w:val="13"/>
                <w:color w:val="auto"/>
                <w:w w:val="95"/>
              </w:rPr>
              <w:t>21,365</w:t>
            </w: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color w:val="auto"/>
              </w:rPr>
              <w:t>1,648,592</w:t>
            </w:r>
          </w:p>
        </w:tc>
      </w:tr>
      <w:tr>
        <w:trPr>
          <w:trHeight w:val="136"/>
        </w:trPr>
        <w:tc>
          <w:tcPr>
            <w:tcW w:w="2160" w:type="dxa"/>
            <w:vAlign w:val="bottom"/>
            <w:tcBorders>
              <w:bottom w:val="single" w:sz="8" w:color="auto"/>
              <w:right w:val="single" w:sz="8" w:color="auto"/>
            </w:tcBorders>
            <w:gridSpan w:val="2"/>
          </w:tcPr>
          <w:p>
            <w:pPr>
              <w:spacing w:after="0" w:line="136" w:lineRule="exact"/>
              <w:rPr>
                <w:sz w:val="20"/>
                <w:szCs w:val="20"/>
                <w:color w:val="auto"/>
              </w:rPr>
            </w:pPr>
            <w:r>
              <w:rPr>
                <w:rFonts w:ascii="Arial" w:cs="Arial" w:eastAsia="Arial" w:hAnsi="Arial"/>
                <w:sz w:val="13"/>
                <w:szCs w:val="13"/>
                <w:b w:val="1"/>
                <w:bCs w:val="1"/>
                <w:color w:val="auto"/>
              </w:rPr>
              <w:t>Nalin Miglani</w:t>
            </w:r>
          </w:p>
        </w:tc>
        <w:tc>
          <w:tcPr>
            <w:tcW w:w="2360" w:type="dxa"/>
            <w:vAlign w:val="bottom"/>
            <w:tcBorders>
              <w:bottom w:val="single" w:sz="8" w:color="auto"/>
              <w:right w:val="single" w:sz="8" w:color="auto"/>
            </w:tcBorders>
            <w:gridSpan w:val="2"/>
          </w:tcPr>
          <w:p>
            <w:pPr>
              <w:jc w:val="center"/>
              <w:ind w:right="40"/>
              <w:spacing w:after="0" w:line="136" w:lineRule="exact"/>
              <w:rPr>
                <w:sz w:val="20"/>
                <w:szCs w:val="20"/>
                <w:color w:val="auto"/>
              </w:rPr>
            </w:pPr>
            <w:r>
              <w:rPr>
                <w:rFonts w:ascii="Arial" w:cs="Arial" w:eastAsia="Arial" w:hAnsi="Arial"/>
                <w:sz w:val="13"/>
                <w:szCs w:val="13"/>
                <w:color w:val="auto"/>
                <w:w w:val="91"/>
              </w:rPr>
              <w:t>—</w:t>
            </w:r>
          </w:p>
        </w:tc>
        <w:tc>
          <w:tcPr>
            <w:tcW w:w="48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gridSpan w:val="2"/>
          </w:tcPr>
          <w:p>
            <w:pPr>
              <w:jc w:val="center"/>
              <w:ind w:right="580"/>
              <w:spacing w:after="0" w:line="136" w:lineRule="exact"/>
              <w:rPr>
                <w:sz w:val="20"/>
                <w:szCs w:val="20"/>
                <w:color w:val="auto"/>
              </w:rPr>
            </w:pPr>
            <w:r>
              <w:rPr>
                <w:rFonts w:ascii="Arial" w:cs="Arial" w:eastAsia="Arial" w:hAnsi="Arial"/>
                <w:sz w:val="13"/>
                <w:szCs w:val="13"/>
                <w:color w:val="auto"/>
                <w:w w:val="91"/>
              </w:rPr>
              <w:t>—</w:t>
            </w:r>
          </w:p>
        </w:tc>
        <w:tc>
          <w:tcPr>
            <w:tcW w:w="1740" w:type="dxa"/>
            <w:vAlign w:val="bottom"/>
            <w:tcBorders>
              <w:bottom w:val="single" w:sz="8" w:color="auto"/>
            </w:tcBorders>
          </w:tcPr>
          <w:p>
            <w:pPr>
              <w:jc w:val="center"/>
              <w:ind w:left="377"/>
              <w:spacing w:after="0" w:line="136" w:lineRule="exact"/>
              <w:rPr>
                <w:sz w:val="20"/>
                <w:szCs w:val="20"/>
                <w:color w:val="auto"/>
              </w:rPr>
            </w:pPr>
            <w:r>
              <w:rPr>
                <w:rFonts w:ascii="Arial" w:cs="Arial" w:eastAsia="Arial" w:hAnsi="Arial"/>
                <w:sz w:val="13"/>
                <w:szCs w:val="13"/>
                <w:color w:val="auto"/>
                <w:w w:val="95"/>
              </w:rPr>
              <w:t>12,470</w:t>
            </w: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color w:val="auto"/>
                <w:w w:val="97"/>
              </w:rPr>
              <w:t>962,034</w:t>
            </w:r>
          </w:p>
        </w:tc>
      </w:tr>
      <w:tr>
        <w:trPr>
          <w:trHeight w:val="136"/>
        </w:trPr>
        <w:tc>
          <w:tcPr>
            <w:tcW w:w="2160" w:type="dxa"/>
            <w:vAlign w:val="bottom"/>
            <w:tcBorders>
              <w:bottom w:val="single" w:sz="8" w:color="auto"/>
              <w:right w:val="single" w:sz="8" w:color="auto"/>
            </w:tcBorders>
            <w:gridSpan w:val="2"/>
          </w:tcPr>
          <w:p>
            <w:pPr>
              <w:spacing w:after="0" w:line="136" w:lineRule="exact"/>
              <w:rPr>
                <w:sz w:val="20"/>
                <w:szCs w:val="20"/>
                <w:color w:val="auto"/>
              </w:rPr>
            </w:pPr>
            <w:r>
              <w:rPr>
                <w:rFonts w:ascii="Arial" w:cs="Arial" w:eastAsia="Arial" w:hAnsi="Arial"/>
                <w:sz w:val="13"/>
                <w:szCs w:val="13"/>
                <w:b w:val="1"/>
                <w:bCs w:val="1"/>
                <w:color w:val="auto"/>
              </w:rPr>
              <w:t>Vikas Bhalla</w:t>
            </w:r>
          </w:p>
        </w:tc>
        <w:tc>
          <w:tcPr>
            <w:tcW w:w="2360" w:type="dxa"/>
            <w:vAlign w:val="bottom"/>
            <w:tcBorders>
              <w:bottom w:val="single" w:sz="8" w:color="auto"/>
              <w:right w:val="single" w:sz="8" w:color="auto"/>
            </w:tcBorders>
            <w:gridSpan w:val="2"/>
          </w:tcPr>
          <w:p>
            <w:pPr>
              <w:jc w:val="center"/>
              <w:ind w:right="40"/>
              <w:spacing w:after="0" w:line="136" w:lineRule="exact"/>
              <w:rPr>
                <w:sz w:val="20"/>
                <w:szCs w:val="20"/>
                <w:color w:val="auto"/>
              </w:rPr>
            </w:pPr>
            <w:r>
              <w:rPr>
                <w:rFonts w:ascii="Arial" w:cs="Arial" w:eastAsia="Arial" w:hAnsi="Arial"/>
                <w:sz w:val="13"/>
                <w:szCs w:val="13"/>
                <w:color w:val="auto"/>
                <w:w w:val="91"/>
              </w:rPr>
              <w:t>—</w:t>
            </w:r>
          </w:p>
        </w:tc>
        <w:tc>
          <w:tcPr>
            <w:tcW w:w="48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gridSpan w:val="2"/>
          </w:tcPr>
          <w:p>
            <w:pPr>
              <w:jc w:val="center"/>
              <w:ind w:right="580"/>
              <w:spacing w:after="0" w:line="136" w:lineRule="exact"/>
              <w:rPr>
                <w:sz w:val="20"/>
                <w:szCs w:val="20"/>
                <w:color w:val="auto"/>
              </w:rPr>
            </w:pPr>
            <w:r>
              <w:rPr>
                <w:rFonts w:ascii="Arial" w:cs="Arial" w:eastAsia="Arial" w:hAnsi="Arial"/>
                <w:sz w:val="13"/>
                <w:szCs w:val="13"/>
                <w:color w:val="auto"/>
                <w:w w:val="91"/>
              </w:rPr>
              <w:t>—</w:t>
            </w:r>
          </w:p>
        </w:tc>
        <w:tc>
          <w:tcPr>
            <w:tcW w:w="1740" w:type="dxa"/>
            <w:vAlign w:val="bottom"/>
            <w:tcBorders>
              <w:bottom w:val="single" w:sz="8" w:color="auto"/>
            </w:tcBorders>
          </w:tcPr>
          <w:p>
            <w:pPr>
              <w:jc w:val="center"/>
              <w:ind w:left="377"/>
              <w:spacing w:after="0" w:line="136" w:lineRule="exact"/>
              <w:rPr>
                <w:sz w:val="20"/>
                <w:szCs w:val="20"/>
                <w:color w:val="auto"/>
              </w:rPr>
            </w:pPr>
            <w:r>
              <w:rPr>
                <w:rFonts w:ascii="Arial" w:cs="Arial" w:eastAsia="Arial" w:hAnsi="Arial"/>
                <w:sz w:val="13"/>
                <w:szCs w:val="13"/>
                <w:color w:val="auto"/>
                <w:w w:val="95"/>
              </w:rPr>
              <w:t>12,625</w:t>
            </w: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3"/>
                <w:szCs w:val="13"/>
                <w:color w:val="auto"/>
                <w:w w:val="97"/>
              </w:rPr>
              <w:t>974,084</w:t>
            </w:r>
          </w:p>
        </w:tc>
      </w:tr>
      <w:tr>
        <w:trPr>
          <w:trHeight w:val="145"/>
        </w:trPr>
        <w:tc>
          <w:tcPr>
            <w:tcW w:w="2160" w:type="dxa"/>
            <w:vAlign w:val="bottom"/>
            <w:tcBorders>
              <w:bottom w:val="single" w:sz="8" w:color="479EFF"/>
              <w:right w:val="single" w:sz="8" w:color="auto"/>
            </w:tcBorders>
            <w:gridSpan w:val="2"/>
          </w:tcPr>
          <w:p>
            <w:pPr>
              <w:spacing w:after="0" w:line="136" w:lineRule="exact"/>
              <w:rPr>
                <w:sz w:val="20"/>
                <w:szCs w:val="20"/>
                <w:color w:val="auto"/>
              </w:rPr>
            </w:pPr>
            <w:r>
              <w:rPr>
                <w:rFonts w:ascii="Arial" w:cs="Arial" w:eastAsia="Arial" w:hAnsi="Arial"/>
                <w:sz w:val="13"/>
                <w:szCs w:val="13"/>
                <w:b w:val="1"/>
                <w:bCs w:val="1"/>
                <w:color w:val="auto"/>
              </w:rPr>
              <w:t>Samuel Meckey</w:t>
            </w:r>
          </w:p>
        </w:tc>
        <w:tc>
          <w:tcPr>
            <w:tcW w:w="2360" w:type="dxa"/>
            <w:vAlign w:val="bottom"/>
            <w:tcBorders>
              <w:bottom w:val="single" w:sz="8" w:color="479EFF"/>
              <w:right w:val="single" w:sz="8" w:color="auto"/>
            </w:tcBorders>
            <w:gridSpan w:val="2"/>
          </w:tcPr>
          <w:p>
            <w:pPr>
              <w:jc w:val="center"/>
              <w:ind w:right="40"/>
              <w:spacing w:after="0" w:line="136" w:lineRule="exact"/>
              <w:rPr>
                <w:sz w:val="20"/>
                <w:szCs w:val="20"/>
                <w:color w:val="auto"/>
              </w:rPr>
            </w:pPr>
            <w:r>
              <w:rPr>
                <w:rFonts w:ascii="Arial" w:cs="Arial" w:eastAsia="Arial" w:hAnsi="Arial"/>
                <w:sz w:val="13"/>
                <w:szCs w:val="13"/>
                <w:color w:val="auto"/>
                <w:w w:val="91"/>
              </w:rPr>
              <w:t>—</w:t>
            </w:r>
          </w:p>
        </w:tc>
        <w:tc>
          <w:tcPr>
            <w:tcW w:w="480" w:type="dxa"/>
            <w:vAlign w:val="bottom"/>
            <w:tcBorders>
              <w:bottom w:val="single" w:sz="8" w:color="479EFF"/>
            </w:tcBorders>
          </w:tcPr>
          <w:p>
            <w:pPr>
              <w:spacing w:after="0"/>
              <w:rPr>
                <w:sz w:val="12"/>
                <w:szCs w:val="12"/>
                <w:color w:val="auto"/>
              </w:rPr>
            </w:pPr>
          </w:p>
        </w:tc>
        <w:tc>
          <w:tcPr>
            <w:tcW w:w="1820" w:type="dxa"/>
            <w:vAlign w:val="bottom"/>
            <w:tcBorders>
              <w:bottom w:val="single" w:sz="8" w:color="479EFF"/>
              <w:right w:val="single" w:sz="8" w:color="auto"/>
            </w:tcBorders>
            <w:gridSpan w:val="2"/>
          </w:tcPr>
          <w:p>
            <w:pPr>
              <w:jc w:val="center"/>
              <w:ind w:right="580"/>
              <w:spacing w:after="0" w:line="136" w:lineRule="exact"/>
              <w:rPr>
                <w:sz w:val="20"/>
                <w:szCs w:val="20"/>
                <w:color w:val="auto"/>
              </w:rPr>
            </w:pPr>
            <w:r>
              <w:rPr>
                <w:rFonts w:ascii="Arial" w:cs="Arial" w:eastAsia="Arial" w:hAnsi="Arial"/>
                <w:sz w:val="13"/>
                <w:szCs w:val="13"/>
                <w:color w:val="auto"/>
                <w:w w:val="91"/>
              </w:rPr>
              <w:t>—</w:t>
            </w:r>
          </w:p>
        </w:tc>
        <w:tc>
          <w:tcPr>
            <w:tcW w:w="1740" w:type="dxa"/>
            <w:vAlign w:val="bottom"/>
            <w:tcBorders>
              <w:bottom w:val="single" w:sz="8" w:color="479EFF"/>
            </w:tcBorders>
          </w:tcPr>
          <w:p>
            <w:pPr>
              <w:jc w:val="center"/>
              <w:ind w:left="397"/>
              <w:spacing w:after="0" w:line="136" w:lineRule="exact"/>
              <w:rPr>
                <w:sz w:val="20"/>
                <w:szCs w:val="20"/>
                <w:color w:val="auto"/>
              </w:rPr>
            </w:pPr>
            <w:r>
              <w:rPr>
                <w:rFonts w:ascii="Arial" w:cs="Arial" w:eastAsia="Arial" w:hAnsi="Arial"/>
                <w:sz w:val="13"/>
                <w:szCs w:val="13"/>
                <w:color w:val="auto"/>
                <w:w w:val="98"/>
              </w:rPr>
              <w:t>3,469</w:t>
            </w:r>
          </w:p>
        </w:tc>
        <w:tc>
          <w:tcPr>
            <w:tcW w:w="500" w:type="dxa"/>
            <w:vAlign w:val="bottom"/>
            <w:tcBorders>
              <w:bottom w:val="single" w:sz="8" w:color="479EFF"/>
            </w:tcBorders>
          </w:tcPr>
          <w:p>
            <w:pPr>
              <w:spacing w:after="0"/>
              <w:rPr>
                <w:sz w:val="12"/>
                <w:szCs w:val="12"/>
                <w:color w:val="auto"/>
              </w:rPr>
            </w:pPr>
          </w:p>
        </w:tc>
        <w:tc>
          <w:tcPr>
            <w:tcW w:w="60" w:type="dxa"/>
            <w:vAlign w:val="bottom"/>
            <w:tcBorders>
              <w:bottom w:val="single" w:sz="8" w:color="479EFF"/>
              <w:right w:val="single" w:sz="8" w:color="auto"/>
            </w:tcBorders>
          </w:tcPr>
          <w:p>
            <w:pPr>
              <w:spacing w:after="0"/>
              <w:rPr>
                <w:sz w:val="12"/>
                <w:szCs w:val="12"/>
                <w:color w:val="auto"/>
              </w:rPr>
            </w:pPr>
          </w:p>
        </w:tc>
        <w:tc>
          <w:tcPr>
            <w:tcW w:w="2180" w:type="dxa"/>
            <w:vAlign w:val="bottom"/>
            <w:tcBorders>
              <w:bottom w:val="single" w:sz="8" w:color="479EFF"/>
            </w:tcBorders>
          </w:tcPr>
          <w:p>
            <w:pPr>
              <w:jc w:val="center"/>
              <w:spacing w:after="0" w:line="136" w:lineRule="exact"/>
              <w:rPr>
                <w:sz w:val="20"/>
                <w:szCs w:val="20"/>
                <w:color w:val="auto"/>
              </w:rPr>
            </w:pPr>
            <w:r>
              <w:rPr>
                <w:rFonts w:ascii="Arial" w:cs="Arial" w:eastAsia="Arial" w:hAnsi="Arial"/>
                <w:sz w:val="13"/>
                <w:szCs w:val="13"/>
                <w:color w:val="auto"/>
                <w:w w:val="97"/>
              </w:rPr>
              <w:t>276,247</w:t>
            </w:r>
          </w:p>
        </w:tc>
      </w:tr>
      <w:tr>
        <w:trPr>
          <w:trHeight w:val="310"/>
        </w:trPr>
        <w:tc>
          <w:tcPr>
            <w:tcW w:w="5000" w:type="dxa"/>
            <w:vAlign w:val="bottom"/>
            <w:gridSpan w:val="5"/>
          </w:tcPr>
          <w:p>
            <w:pPr>
              <w:spacing w:after="0"/>
              <w:rPr>
                <w:sz w:val="20"/>
                <w:szCs w:val="20"/>
                <w:color w:val="auto"/>
              </w:rPr>
            </w:pPr>
            <w:r>
              <w:rPr>
                <w:rFonts w:ascii="Arial" w:cs="Arial" w:eastAsia="Arial" w:hAnsi="Arial"/>
                <w:sz w:val="13"/>
                <w:szCs w:val="13"/>
                <w:b w:val="1"/>
                <w:bCs w:val="1"/>
                <w:color w:val="479EFF"/>
              </w:rPr>
              <w:t>Pension Benefits for Fiscal Year 2020</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02"/>
        </w:trPr>
        <w:tc>
          <w:tcPr>
            <w:tcW w:w="8560" w:type="dxa"/>
            <w:vAlign w:val="bottom"/>
            <w:gridSpan w:val="8"/>
          </w:tcPr>
          <w:p>
            <w:pPr>
              <w:spacing w:after="0"/>
              <w:rPr>
                <w:sz w:val="20"/>
                <w:szCs w:val="20"/>
                <w:color w:val="auto"/>
              </w:rPr>
            </w:pPr>
            <w:r>
              <w:rPr>
                <w:rFonts w:ascii="Arial" w:cs="Arial" w:eastAsia="Arial" w:hAnsi="Arial"/>
                <w:sz w:val="13"/>
                <w:szCs w:val="13"/>
                <w:color w:val="auto"/>
              </w:rPr>
              <w:t>The following table discloses the present value of accumulated benefits payable to each of the named executive officers and the years of</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93"/>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479EFF"/>
                <w:w w:val="95"/>
              </w:rPr>
              <w:t>Number of</w:t>
            </w:r>
          </w:p>
        </w:tc>
        <w:tc>
          <w:tcPr>
            <w:tcW w:w="1740" w:type="dxa"/>
            <w:vAlign w:val="bottom"/>
          </w:tcPr>
          <w:p>
            <w:pPr>
              <w:jc w:val="center"/>
              <w:ind w:left="277"/>
              <w:spacing w:after="0"/>
              <w:rPr>
                <w:sz w:val="20"/>
                <w:szCs w:val="20"/>
                <w:color w:val="auto"/>
              </w:rPr>
            </w:pPr>
            <w:r>
              <w:rPr>
                <w:rFonts w:ascii="Arial" w:cs="Arial" w:eastAsia="Arial" w:hAnsi="Arial"/>
                <w:sz w:val="13"/>
                <w:szCs w:val="13"/>
                <w:b w:val="1"/>
                <w:bCs w:val="1"/>
                <w:color w:val="479EFF"/>
                <w:w w:val="97"/>
              </w:rPr>
              <w:t>Present Value</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ind w:left="540"/>
              <w:spacing w:after="0"/>
              <w:rPr>
                <w:sz w:val="20"/>
                <w:szCs w:val="20"/>
                <w:color w:val="auto"/>
              </w:rPr>
            </w:pPr>
            <w:r>
              <w:rPr>
                <w:rFonts w:ascii="Arial" w:cs="Arial" w:eastAsia="Arial" w:hAnsi="Arial"/>
                <w:sz w:val="13"/>
                <w:szCs w:val="13"/>
                <w:b w:val="1"/>
                <w:bCs w:val="1"/>
                <w:color w:val="479EFF"/>
              </w:rPr>
              <w:t>Payments During</w:t>
            </w:r>
          </w:p>
        </w:tc>
      </w:tr>
      <w:tr>
        <w:trPr>
          <w:trHeight w:val="146"/>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gridSpan w:val="2"/>
          </w:tcPr>
          <w:p>
            <w:pPr>
              <w:jc w:val="center"/>
              <w:ind w:right="700"/>
              <w:spacing w:after="0" w:line="146" w:lineRule="exact"/>
              <w:rPr>
                <w:sz w:val="20"/>
                <w:szCs w:val="20"/>
                <w:color w:val="auto"/>
              </w:rPr>
            </w:pPr>
            <w:r>
              <w:rPr>
                <w:rFonts w:ascii="Arial" w:cs="Arial" w:eastAsia="Arial" w:hAnsi="Arial"/>
                <w:sz w:val="13"/>
                <w:szCs w:val="13"/>
                <w:b w:val="1"/>
                <w:bCs w:val="1"/>
                <w:color w:val="479EFF"/>
                <w:w w:val="95"/>
              </w:rPr>
              <w:t>Years Credited</w:t>
            </w:r>
          </w:p>
        </w:tc>
        <w:tc>
          <w:tcPr>
            <w:tcW w:w="1740" w:type="dxa"/>
            <w:vAlign w:val="bottom"/>
          </w:tcPr>
          <w:p>
            <w:pPr>
              <w:jc w:val="center"/>
              <w:ind w:left="277"/>
              <w:spacing w:after="0" w:line="146" w:lineRule="exact"/>
              <w:rPr>
                <w:sz w:val="20"/>
                <w:szCs w:val="20"/>
                <w:color w:val="auto"/>
              </w:rPr>
            </w:pPr>
            <w:r>
              <w:rPr>
                <w:rFonts w:ascii="Arial" w:cs="Arial" w:eastAsia="Arial" w:hAnsi="Arial"/>
                <w:sz w:val="13"/>
                <w:szCs w:val="13"/>
                <w:b w:val="1"/>
                <w:bCs w:val="1"/>
                <w:color w:val="479EFF"/>
                <w:w w:val="98"/>
              </w:rPr>
              <w:t>of Accumulated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tcPr>
          <w:p>
            <w:pPr>
              <w:ind w:left="580"/>
              <w:spacing w:after="0" w:line="146" w:lineRule="exact"/>
              <w:rPr>
                <w:sz w:val="20"/>
                <w:szCs w:val="20"/>
                <w:color w:val="auto"/>
              </w:rPr>
            </w:pPr>
            <w:r>
              <w:rPr>
                <w:rFonts w:ascii="Arial" w:cs="Arial" w:eastAsia="Arial" w:hAnsi="Arial"/>
                <w:sz w:val="13"/>
                <w:szCs w:val="13"/>
                <w:b w:val="1"/>
                <w:bCs w:val="1"/>
                <w:color w:val="479EFF"/>
              </w:rPr>
              <w:t>Last Fiscal Year</w:t>
            </w:r>
          </w:p>
        </w:tc>
      </w:tr>
      <w:tr>
        <w:trPr>
          <w:trHeight w:val="184"/>
        </w:trPr>
        <w:tc>
          <w:tcPr>
            <w:tcW w:w="2160" w:type="dxa"/>
            <w:vAlign w:val="bottom"/>
            <w:tcBorders>
              <w:bottom w:val="single" w:sz="8" w:color="479EFF"/>
            </w:tcBorders>
            <w:gridSpan w:val="2"/>
          </w:tcPr>
          <w:p>
            <w:pPr>
              <w:spacing w:after="0"/>
              <w:rPr>
                <w:sz w:val="20"/>
                <w:szCs w:val="20"/>
                <w:color w:val="auto"/>
              </w:rPr>
            </w:pPr>
            <w:r>
              <w:rPr>
                <w:rFonts w:ascii="Arial" w:cs="Arial" w:eastAsia="Arial" w:hAnsi="Arial"/>
                <w:sz w:val="13"/>
                <w:szCs w:val="13"/>
                <w:b w:val="1"/>
                <w:bCs w:val="1"/>
                <w:color w:val="479EFF"/>
              </w:rPr>
              <w:t>Name</w:t>
            </w:r>
          </w:p>
        </w:tc>
        <w:tc>
          <w:tcPr>
            <w:tcW w:w="2840" w:type="dxa"/>
            <w:vAlign w:val="bottom"/>
            <w:tcBorders>
              <w:bottom w:val="single" w:sz="8" w:color="479EFF"/>
            </w:tcBorders>
            <w:gridSpan w:val="3"/>
          </w:tcPr>
          <w:p>
            <w:pPr>
              <w:jc w:val="center"/>
              <w:ind w:right="660"/>
              <w:spacing w:after="0"/>
              <w:rPr>
                <w:sz w:val="20"/>
                <w:szCs w:val="20"/>
                <w:color w:val="auto"/>
              </w:rPr>
            </w:pPr>
            <w:r>
              <w:rPr>
                <w:rFonts w:ascii="Arial" w:cs="Arial" w:eastAsia="Arial" w:hAnsi="Arial"/>
                <w:sz w:val="13"/>
                <w:szCs w:val="13"/>
                <w:b w:val="1"/>
                <w:bCs w:val="1"/>
                <w:color w:val="479EFF"/>
                <w:w w:val="99"/>
              </w:rPr>
              <w:t>Plan Name</w:t>
            </w:r>
          </w:p>
        </w:tc>
        <w:tc>
          <w:tcPr>
            <w:tcW w:w="1820" w:type="dxa"/>
            <w:vAlign w:val="bottom"/>
            <w:tcBorders>
              <w:bottom w:val="single" w:sz="8" w:color="479EFF"/>
            </w:tcBorders>
            <w:gridSpan w:val="2"/>
          </w:tcPr>
          <w:p>
            <w:pPr>
              <w:jc w:val="center"/>
              <w:ind w:right="680"/>
              <w:spacing w:after="0" w:line="175" w:lineRule="exact"/>
              <w:rPr>
                <w:sz w:val="20"/>
                <w:szCs w:val="20"/>
                <w:color w:val="auto"/>
              </w:rPr>
            </w:pPr>
            <w:r>
              <w:rPr>
                <w:rFonts w:ascii="Arial" w:cs="Arial" w:eastAsia="Arial" w:hAnsi="Arial"/>
                <w:sz w:val="12"/>
                <w:szCs w:val="12"/>
                <w:b w:val="1"/>
                <w:bCs w:val="1"/>
                <w:color w:val="479EFF"/>
              </w:rPr>
              <w:t>Service (#)</w:t>
            </w:r>
            <w:r>
              <w:rPr>
                <w:rFonts w:ascii="Arial" w:cs="Arial" w:eastAsia="Arial" w:hAnsi="Arial"/>
                <w:sz w:val="20"/>
                <w:szCs w:val="20"/>
                <w:b w:val="1"/>
                <w:bCs w:val="1"/>
                <w:color w:val="479EFF"/>
                <w:vertAlign w:val="superscript"/>
              </w:rPr>
              <w:t>(1)</w:t>
            </w:r>
          </w:p>
        </w:tc>
        <w:tc>
          <w:tcPr>
            <w:tcW w:w="1740" w:type="dxa"/>
            <w:vAlign w:val="bottom"/>
            <w:tcBorders>
              <w:bottom w:val="single" w:sz="8" w:color="479EFF"/>
            </w:tcBorders>
          </w:tcPr>
          <w:p>
            <w:pPr>
              <w:jc w:val="center"/>
              <w:ind w:left="297"/>
              <w:spacing w:after="0"/>
              <w:rPr>
                <w:sz w:val="20"/>
                <w:szCs w:val="20"/>
                <w:color w:val="auto"/>
              </w:rPr>
            </w:pPr>
            <w:r>
              <w:rPr>
                <w:rFonts w:ascii="Arial" w:cs="Arial" w:eastAsia="Arial" w:hAnsi="Arial"/>
                <w:sz w:val="13"/>
                <w:szCs w:val="13"/>
                <w:b w:val="1"/>
                <w:bCs w:val="1"/>
                <w:color w:val="479EFF"/>
                <w:w w:val="97"/>
              </w:rPr>
              <w:t>Benefit ($)</w:t>
            </w:r>
          </w:p>
        </w:tc>
        <w:tc>
          <w:tcPr>
            <w:tcW w:w="2740" w:type="dxa"/>
            <w:vAlign w:val="bottom"/>
            <w:tcBorders>
              <w:bottom w:val="single" w:sz="8" w:color="479EFF"/>
            </w:tcBorders>
            <w:gridSpan w:val="3"/>
          </w:tcPr>
          <w:p>
            <w:pPr>
              <w:jc w:val="center"/>
              <w:ind w:left="437"/>
              <w:spacing w:after="0"/>
              <w:rPr>
                <w:sz w:val="20"/>
                <w:szCs w:val="20"/>
                <w:color w:val="auto"/>
              </w:rPr>
            </w:pPr>
            <w:r>
              <w:rPr>
                <w:rFonts w:ascii="Arial" w:cs="Arial" w:eastAsia="Arial" w:hAnsi="Arial"/>
                <w:sz w:val="13"/>
                <w:szCs w:val="13"/>
                <w:b w:val="1"/>
                <w:bCs w:val="1"/>
                <w:color w:val="479EFF"/>
              </w:rPr>
              <w:t>($)</w:t>
            </w:r>
          </w:p>
        </w:tc>
      </w:tr>
      <w:tr>
        <w:trPr>
          <w:trHeight w:val="175"/>
        </w:trPr>
        <w:tc>
          <w:tcPr>
            <w:tcW w:w="2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Pavan Bagai</w:t>
            </w: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jc w:val="center"/>
              <w:ind w:right="57"/>
              <w:spacing w:after="0" w:line="175" w:lineRule="exact"/>
              <w:rPr>
                <w:sz w:val="20"/>
                <w:szCs w:val="20"/>
                <w:color w:val="auto"/>
              </w:rPr>
            </w:pPr>
            <w:r>
              <w:rPr>
                <w:rFonts w:ascii="Arial" w:cs="Arial" w:eastAsia="Arial" w:hAnsi="Arial"/>
                <w:sz w:val="12"/>
                <w:szCs w:val="12"/>
                <w:color w:val="auto"/>
              </w:rPr>
              <w:t>Gratuity Plan for Indian Employees</w:t>
            </w:r>
            <w:r>
              <w:rPr>
                <w:rFonts w:ascii="Arial" w:cs="Arial" w:eastAsia="Arial" w:hAnsi="Arial"/>
                <w:sz w:val="20"/>
                <w:szCs w:val="20"/>
                <w:color w:val="auto"/>
                <w:vertAlign w:val="superscript"/>
              </w:rPr>
              <w:t>(2)</w:t>
            </w:r>
          </w:p>
        </w:tc>
        <w:tc>
          <w:tcPr>
            <w:tcW w:w="520" w:type="dxa"/>
            <w:vAlign w:val="bottom"/>
            <w:tcBorders>
              <w:bottom w:val="single" w:sz="8" w:color="auto"/>
            </w:tcBorders>
            <w:gridSpan w:val="2"/>
          </w:tcPr>
          <w:p>
            <w:pPr>
              <w:spacing w:after="0"/>
              <w:rPr>
                <w:sz w:val="15"/>
                <w:szCs w:val="15"/>
                <w:color w:val="auto"/>
              </w:rPr>
            </w:pPr>
          </w:p>
        </w:tc>
        <w:tc>
          <w:tcPr>
            <w:tcW w:w="1760" w:type="dxa"/>
            <w:vAlign w:val="bottom"/>
            <w:tcBorders>
              <w:bottom w:val="single" w:sz="8" w:color="auto"/>
              <w:right w:val="single" w:sz="8" w:color="auto"/>
            </w:tcBorders>
          </w:tcPr>
          <w:p>
            <w:pPr>
              <w:jc w:val="center"/>
              <w:ind w:right="557"/>
              <w:spacing w:after="0"/>
              <w:rPr>
                <w:sz w:val="20"/>
                <w:szCs w:val="20"/>
                <w:color w:val="auto"/>
              </w:rPr>
            </w:pPr>
            <w:r>
              <w:rPr>
                <w:rFonts w:ascii="Arial" w:cs="Arial" w:eastAsia="Arial" w:hAnsi="Arial"/>
                <w:sz w:val="13"/>
                <w:szCs w:val="13"/>
                <w:color w:val="auto"/>
                <w:w w:val="96"/>
              </w:rPr>
              <w:t>18</w:t>
            </w: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left="297"/>
              <w:spacing w:after="0"/>
              <w:rPr>
                <w:sz w:val="20"/>
                <w:szCs w:val="20"/>
                <w:color w:val="auto"/>
              </w:rPr>
            </w:pPr>
            <w:r>
              <w:rPr>
                <w:rFonts w:ascii="Arial" w:cs="Arial" w:eastAsia="Arial" w:hAnsi="Arial"/>
                <w:sz w:val="13"/>
                <w:szCs w:val="13"/>
                <w:color w:val="auto"/>
                <w:w w:val="97"/>
              </w:rPr>
              <w:t>107,781</w:t>
            </w:r>
          </w:p>
        </w:tc>
        <w:tc>
          <w:tcPr>
            <w:tcW w:w="50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r>
      <w:tr>
        <w:trPr>
          <w:trHeight w:val="174"/>
        </w:trPr>
        <w:tc>
          <w:tcPr>
            <w:tcW w:w="2060" w:type="dxa"/>
            <w:vAlign w:val="bottom"/>
            <w:tcBorders>
              <w:bottom w:val="single" w:sz="8" w:color="479EFF"/>
              <w:right w:val="single" w:sz="8" w:color="auto"/>
            </w:tcBorders>
          </w:tcPr>
          <w:p>
            <w:pPr>
              <w:spacing w:after="0"/>
              <w:rPr>
                <w:sz w:val="20"/>
                <w:szCs w:val="20"/>
                <w:color w:val="auto"/>
              </w:rPr>
            </w:pPr>
            <w:r>
              <w:rPr>
                <w:rFonts w:ascii="Arial" w:cs="Arial" w:eastAsia="Arial" w:hAnsi="Arial"/>
                <w:sz w:val="13"/>
                <w:szCs w:val="13"/>
                <w:b w:val="1"/>
                <w:bCs w:val="1"/>
                <w:color w:val="auto"/>
              </w:rPr>
              <w:t>Vikas Bhalla</w:t>
            </w:r>
          </w:p>
        </w:tc>
        <w:tc>
          <w:tcPr>
            <w:tcW w:w="100" w:type="dxa"/>
            <w:vAlign w:val="bottom"/>
            <w:tcBorders>
              <w:bottom w:val="single" w:sz="8" w:color="479EFF"/>
            </w:tcBorders>
          </w:tcPr>
          <w:p>
            <w:pPr>
              <w:spacing w:after="0"/>
              <w:rPr>
                <w:sz w:val="15"/>
                <w:szCs w:val="15"/>
                <w:color w:val="auto"/>
              </w:rPr>
            </w:pPr>
          </w:p>
        </w:tc>
        <w:tc>
          <w:tcPr>
            <w:tcW w:w="2320" w:type="dxa"/>
            <w:vAlign w:val="bottom"/>
            <w:tcBorders>
              <w:bottom w:val="single" w:sz="8" w:color="479EFF"/>
              <w:right w:val="single" w:sz="8" w:color="auto"/>
            </w:tcBorders>
          </w:tcPr>
          <w:p>
            <w:pPr>
              <w:jc w:val="center"/>
              <w:ind w:right="57"/>
              <w:spacing w:after="0" w:line="165" w:lineRule="exact"/>
              <w:rPr>
                <w:sz w:val="20"/>
                <w:szCs w:val="20"/>
                <w:color w:val="auto"/>
              </w:rPr>
            </w:pPr>
            <w:r>
              <w:rPr>
                <w:rFonts w:ascii="Arial" w:cs="Arial" w:eastAsia="Arial" w:hAnsi="Arial"/>
                <w:sz w:val="12"/>
                <w:szCs w:val="12"/>
                <w:color w:val="auto"/>
              </w:rPr>
              <w:t>Gratuity Plan for Indian Employees</w:t>
            </w:r>
            <w:r>
              <w:rPr>
                <w:rFonts w:ascii="Arial" w:cs="Arial" w:eastAsia="Arial" w:hAnsi="Arial"/>
                <w:sz w:val="19"/>
                <w:szCs w:val="19"/>
                <w:color w:val="auto"/>
                <w:vertAlign w:val="superscript"/>
              </w:rPr>
              <w:t>(2)</w:t>
            </w:r>
          </w:p>
        </w:tc>
        <w:tc>
          <w:tcPr>
            <w:tcW w:w="520" w:type="dxa"/>
            <w:vAlign w:val="bottom"/>
            <w:tcBorders>
              <w:bottom w:val="single" w:sz="8" w:color="479EFF"/>
            </w:tcBorders>
            <w:gridSpan w:val="2"/>
          </w:tcPr>
          <w:p>
            <w:pPr>
              <w:spacing w:after="0"/>
              <w:rPr>
                <w:sz w:val="15"/>
                <w:szCs w:val="15"/>
                <w:color w:val="auto"/>
              </w:rPr>
            </w:pPr>
          </w:p>
        </w:tc>
        <w:tc>
          <w:tcPr>
            <w:tcW w:w="1760" w:type="dxa"/>
            <w:vAlign w:val="bottom"/>
            <w:tcBorders>
              <w:bottom w:val="single" w:sz="8" w:color="479EFF"/>
              <w:right w:val="single" w:sz="8" w:color="auto"/>
            </w:tcBorders>
          </w:tcPr>
          <w:p>
            <w:pPr>
              <w:jc w:val="center"/>
              <w:ind w:right="557"/>
              <w:spacing w:after="0"/>
              <w:rPr>
                <w:sz w:val="20"/>
                <w:szCs w:val="20"/>
                <w:color w:val="auto"/>
              </w:rPr>
            </w:pPr>
            <w:r>
              <w:rPr>
                <w:rFonts w:ascii="Arial" w:cs="Arial" w:eastAsia="Arial" w:hAnsi="Arial"/>
                <w:sz w:val="13"/>
                <w:szCs w:val="13"/>
                <w:color w:val="auto"/>
                <w:w w:val="96"/>
              </w:rPr>
              <w:t>20</w:t>
            </w:r>
          </w:p>
        </w:tc>
        <w:tc>
          <w:tcPr>
            <w:tcW w:w="60" w:type="dxa"/>
            <w:vAlign w:val="bottom"/>
            <w:tcBorders>
              <w:bottom w:val="single" w:sz="8" w:color="479EFF"/>
            </w:tcBorders>
          </w:tcPr>
          <w:p>
            <w:pPr>
              <w:spacing w:after="0"/>
              <w:rPr>
                <w:sz w:val="15"/>
                <w:szCs w:val="15"/>
                <w:color w:val="auto"/>
              </w:rPr>
            </w:pPr>
          </w:p>
        </w:tc>
        <w:tc>
          <w:tcPr>
            <w:tcW w:w="1740" w:type="dxa"/>
            <w:vAlign w:val="bottom"/>
            <w:tcBorders>
              <w:bottom w:val="single" w:sz="8" w:color="479EFF"/>
            </w:tcBorders>
          </w:tcPr>
          <w:p>
            <w:pPr>
              <w:jc w:val="center"/>
              <w:ind w:left="297"/>
              <w:spacing w:after="0"/>
              <w:rPr>
                <w:sz w:val="20"/>
                <w:szCs w:val="20"/>
                <w:color w:val="auto"/>
              </w:rPr>
            </w:pPr>
            <w:r>
              <w:rPr>
                <w:rFonts w:ascii="Arial" w:cs="Arial" w:eastAsia="Arial" w:hAnsi="Arial"/>
                <w:sz w:val="13"/>
                <w:szCs w:val="13"/>
                <w:color w:val="auto"/>
                <w:w w:val="97"/>
              </w:rPr>
              <w:t>101,332</w:t>
            </w:r>
          </w:p>
        </w:tc>
        <w:tc>
          <w:tcPr>
            <w:tcW w:w="500" w:type="dxa"/>
            <w:vAlign w:val="bottom"/>
            <w:tcBorders>
              <w:bottom w:val="single" w:sz="8" w:color="479EFF"/>
              <w:right w:val="single" w:sz="8" w:color="auto"/>
            </w:tcBorders>
          </w:tcPr>
          <w:p>
            <w:pPr>
              <w:spacing w:after="0"/>
              <w:rPr>
                <w:sz w:val="15"/>
                <w:szCs w:val="15"/>
                <w:color w:val="auto"/>
              </w:rPr>
            </w:pPr>
          </w:p>
        </w:tc>
        <w:tc>
          <w:tcPr>
            <w:tcW w:w="60" w:type="dxa"/>
            <w:vAlign w:val="bottom"/>
            <w:tcBorders>
              <w:bottom w:val="single" w:sz="8" w:color="479EFF"/>
            </w:tcBorders>
          </w:tcPr>
          <w:p>
            <w:pPr>
              <w:spacing w:after="0"/>
              <w:rPr>
                <w:sz w:val="15"/>
                <w:szCs w:val="15"/>
                <w:color w:val="auto"/>
              </w:rPr>
            </w:pPr>
          </w:p>
        </w:tc>
        <w:tc>
          <w:tcPr>
            <w:tcW w:w="2180" w:type="dxa"/>
            <w:vAlign w:val="bottom"/>
            <w:tcBorders>
              <w:bottom w:val="single" w:sz="8" w:color="479EFF"/>
            </w:tcBorders>
          </w:tcPr>
          <w:p>
            <w:pPr>
              <w:jc w:val="center"/>
              <w:spacing w:after="0"/>
              <w:rPr>
                <w:sz w:val="20"/>
                <w:szCs w:val="20"/>
                <w:color w:val="auto"/>
              </w:rPr>
            </w:pPr>
            <w:r>
              <w:rPr>
                <w:rFonts w:ascii="Arial" w:cs="Arial" w:eastAsia="Arial" w:hAnsi="Arial"/>
                <w:sz w:val="13"/>
                <w:szCs w:val="13"/>
                <w:color w:val="auto"/>
                <w:w w:val="91"/>
              </w:rPr>
              <w:t>—</w:t>
            </w:r>
          </w:p>
        </w:tc>
      </w:tr>
    </w:tbl>
    <w:p>
      <w:pPr>
        <w:spacing w:after="0" w:line="159" w:lineRule="exact"/>
        <w:rPr>
          <w:sz w:val="20"/>
          <w:szCs w:val="20"/>
          <w:color w:val="auto"/>
        </w:rPr>
      </w:pPr>
    </w:p>
    <w:p>
      <w:pPr>
        <w:ind w:left="2" w:right="340" w:hanging="2"/>
        <w:spacing w:after="0" w:line="262" w:lineRule="auto"/>
        <w:tabs>
          <w:tab w:leader="none" w:pos="123" w:val="left"/>
        </w:tabs>
        <w:numPr>
          <w:ilvl w:val="0"/>
          <w:numId w:val="81"/>
        </w:numPr>
        <w:rPr>
          <w:rFonts w:ascii="Arial" w:cs="Arial" w:eastAsia="Arial" w:hAnsi="Arial"/>
          <w:sz w:val="10"/>
          <w:szCs w:val="10"/>
          <w:color w:val="auto"/>
        </w:rPr>
      </w:pPr>
      <w:r>
        <w:rPr>
          <w:rFonts w:ascii="Arial" w:cs="Arial" w:eastAsia="Arial" w:hAnsi="Arial"/>
          <w:sz w:val="10"/>
          <w:szCs w:val="10"/>
          <w:color w:val="auto"/>
        </w:rPr>
        <w:t>Consists of the number of years of service credited as of December 31, 2020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138" w:lineRule="exact"/>
        <w:rPr>
          <w:sz w:val="20"/>
          <w:szCs w:val="20"/>
          <w:color w:val="auto"/>
        </w:rPr>
      </w:pPr>
    </w:p>
    <w:p>
      <w:pPr>
        <w:ind w:left="2" w:right="40" w:hanging="2"/>
        <w:spacing w:after="0" w:line="249" w:lineRule="auto"/>
        <w:tabs>
          <w:tab w:leader="none" w:pos="158" w:val="left"/>
        </w:tabs>
        <w:numPr>
          <w:ilvl w:val="0"/>
          <w:numId w:val="82"/>
        </w:numPr>
        <w:rPr>
          <w:rFonts w:ascii="Arial" w:cs="Arial" w:eastAsia="Arial" w:hAnsi="Arial"/>
          <w:sz w:val="10"/>
          <w:szCs w:val="10"/>
          <w:color w:val="auto"/>
        </w:rPr>
      </w:pPr>
      <w:r>
        <w:rPr>
          <w:rFonts w:ascii="Arial" w:cs="Arial" w:eastAsia="Arial" w:hAnsi="Arial"/>
          <w:sz w:val="10"/>
          <w:szCs w:val="10"/>
          <w:color w:val="auto"/>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20 to the audited financial statements for the fiscal year ended December 31, 2020 included in the 2020 Form 10-K.</w:t>
      </w:r>
    </w:p>
    <w:p>
      <w:pPr>
        <w:spacing w:after="0" w:line="144" w:lineRule="exact"/>
        <w:rPr>
          <w:sz w:val="20"/>
          <w:szCs w:val="20"/>
          <w:color w:val="auto"/>
        </w:rPr>
      </w:pPr>
    </w:p>
    <w:p>
      <w:pPr>
        <w:ind w:left="2" w:right="40"/>
        <w:spacing w:after="0" w:line="236" w:lineRule="auto"/>
        <w:rPr>
          <w:sz w:val="20"/>
          <w:szCs w:val="20"/>
          <w:color w:val="auto"/>
        </w:rPr>
      </w:pPr>
      <w:r>
        <w:rPr>
          <w:rFonts w:ascii="Arial" w:cs="Arial" w:eastAsia="Arial" w:hAnsi="Arial"/>
          <w:sz w:val="13"/>
          <w:szCs w:val="13"/>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Messrs. Bagai and Bhalla's accumulated benefits has been determined based on their monthly basic salary rates in effect on December 31, 2020, which are approximately $10,379 and $8,782, respectively.</w:t>
      </w:r>
    </w:p>
    <w:p>
      <w:pPr>
        <w:spacing w:after="0" w:line="13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479EFF"/>
        </w:rPr>
        <w:t>Potential Payments upon Termination or Change in Control at Fiscal 2020 Year-End</w:t>
      </w:r>
    </w:p>
    <w:p>
      <w:pPr>
        <w:spacing w:after="0" w:line="168" w:lineRule="exact"/>
        <w:rPr>
          <w:sz w:val="20"/>
          <w:szCs w:val="20"/>
          <w:color w:val="auto"/>
        </w:rPr>
      </w:pPr>
    </w:p>
    <w:p>
      <w:pPr>
        <w:jc w:val="both"/>
        <w:ind w:left="2" w:right="140"/>
        <w:spacing w:after="0" w:line="237" w:lineRule="auto"/>
        <w:rPr>
          <w:sz w:val="20"/>
          <w:szCs w:val="20"/>
          <w:color w:val="auto"/>
        </w:rPr>
      </w:pPr>
      <w:r>
        <w:rPr>
          <w:rFonts w:ascii="Arial" w:cs="Arial" w:eastAsia="Arial" w:hAnsi="Arial"/>
          <w:sz w:val="13"/>
          <w:szCs w:val="13"/>
          <w:color w:val="auto"/>
        </w:rPr>
        <w:t>The following tables summarize the amounts payable to each named executive officer upon a change in control or termination of his employment with us on December 31, 2020. In calculating potential payments for purposes of this disclosure, we have quantified our equity-based payments using the closing stock price on December 31, 2020, which was $85.13. Some of the capitalized terms used in the employment agreements for our named executive officers are defined in the section entitled "Certain Defined Terms" on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5762625</wp:posOffset>
            </wp:positionH>
            <wp:positionV relativeFrom="paragraph">
              <wp:posOffset>193040</wp:posOffset>
            </wp:positionV>
            <wp:extent cx="1408430" cy="3333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0862"/>
        <w:spacing w:after="0"/>
        <w:rPr>
          <w:sz w:val="20"/>
          <w:szCs w:val="20"/>
          <w:color w:val="auto"/>
        </w:rPr>
      </w:pPr>
      <w:r>
        <w:rPr>
          <w:rFonts w:ascii="Arial" w:cs="Arial" w:eastAsia="Arial" w:hAnsi="Arial"/>
          <w:sz w:val="13"/>
          <w:szCs w:val="13"/>
          <w:color w:val="FFFFFE"/>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177405" cy="190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2"/>
          </w:cols>
          <w:pgMar w:left="298" w:top="142" w:right="299" w:bottom="1440" w:gutter="0" w:footer="0" w:header="0"/>
        </w:sectPr>
      </w:pPr>
    </w:p>
    <w:bookmarkStart w:id="94" w:name="page95"/>
    <w:bookmarkEnd w:id="94"/>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Rohit Kapoor</w:t>
      </w:r>
    </w:p>
    <w:p>
      <w:pPr>
        <w:spacing w:after="0" w:line="168"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Unless otherwise noted, the below summary describes the terms of the Amended Kapoor Agreement in place as of December 31, 2020 in order to align with the quantitative disclosures provided in the accompanying tables.</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b w:val="1"/>
          <w:bCs w:val="1"/>
          <w:color w:val="auto"/>
        </w:rPr>
        <w:t xml:space="preserve">Cash Severance: </w:t>
      </w:r>
      <w:r>
        <w:rPr>
          <w:rFonts w:ascii="Arial" w:cs="Arial" w:eastAsia="Arial" w:hAnsi="Arial"/>
          <w:sz w:val="13"/>
          <w:szCs w:val="13"/>
          <w:color w:val="auto"/>
        </w:rPr>
        <w:t>If Mr. Kapoor's employment were terminated by us without "cause" or by the executive for "good reason" or by "retirement" (in each case, as described below) on December 31, 2020,</w:t>
      </w:r>
      <w:r>
        <w:rPr>
          <w:rFonts w:ascii="Arial" w:cs="Arial" w:eastAsia="Arial" w:hAnsi="Arial"/>
          <w:sz w:val="13"/>
          <w:szCs w:val="13"/>
          <w:b w:val="1"/>
          <w:bCs w:val="1"/>
          <w:color w:val="auto"/>
        </w:rPr>
        <w:t xml:space="preserve"> </w:t>
      </w:r>
      <w:r>
        <w:rPr>
          <w:rFonts w:ascii="Arial" w:cs="Arial" w:eastAsia="Arial" w:hAnsi="Arial"/>
          <w:sz w:val="13"/>
          <w:szCs w:val="13"/>
          <w:color w:val="auto"/>
        </w:rPr>
        <w:t>he would have been entitled to cash severance consisting of:</w:t>
      </w:r>
    </w:p>
    <w:p>
      <w:pPr>
        <w:spacing w:after="0" w:line="135" w:lineRule="exact"/>
        <w:rPr>
          <w:sz w:val="20"/>
          <w:szCs w:val="20"/>
          <w:color w:val="auto"/>
        </w:rPr>
      </w:pPr>
    </w:p>
    <w:p>
      <w:pPr>
        <w:ind w:left="780" w:hanging="393"/>
        <w:spacing w:after="0"/>
        <w:tabs>
          <w:tab w:leader="none" w:pos="780" w:val="left"/>
        </w:tabs>
        <w:numPr>
          <w:ilvl w:val="0"/>
          <w:numId w:val="83"/>
        </w:numPr>
        <w:rPr>
          <w:rFonts w:ascii="Arial" w:cs="Arial" w:eastAsia="Arial" w:hAnsi="Arial"/>
          <w:sz w:val="13"/>
          <w:szCs w:val="13"/>
          <w:color w:val="FF4000"/>
        </w:rPr>
      </w:pPr>
      <w:r>
        <w:rPr>
          <w:rFonts w:ascii="Arial" w:cs="Arial" w:eastAsia="Arial" w:hAnsi="Arial"/>
          <w:sz w:val="13"/>
          <w:szCs w:val="13"/>
          <w:color w:val="auto"/>
        </w:rPr>
        <w:t>except in the case of retirement, continuation of his base salary for 24 months;</w:t>
      </w:r>
    </w:p>
    <w:p>
      <w:pPr>
        <w:spacing w:after="0" w:line="152" w:lineRule="exact"/>
        <w:rPr>
          <w:rFonts w:ascii="Arial" w:cs="Arial" w:eastAsia="Arial" w:hAnsi="Arial"/>
          <w:sz w:val="13"/>
          <w:szCs w:val="13"/>
          <w:color w:val="FF4000"/>
        </w:rPr>
      </w:pPr>
    </w:p>
    <w:p>
      <w:pPr>
        <w:ind w:left="780" w:right="280" w:hanging="393"/>
        <w:spacing w:after="0" w:line="239" w:lineRule="auto"/>
        <w:tabs>
          <w:tab w:leader="none" w:pos="780" w:val="left"/>
        </w:tabs>
        <w:numPr>
          <w:ilvl w:val="0"/>
          <w:numId w:val="83"/>
        </w:numPr>
        <w:rPr>
          <w:rFonts w:ascii="Arial" w:cs="Arial" w:eastAsia="Arial" w:hAnsi="Arial"/>
          <w:sz w:val="13"/>
          <w:szCs w:val="13"/>
          <w:color w:val="FF4000"/>
        </w:rPr>
      </w:pPr>
      <w:r>
        <w:rPr>
          <w:rFonts w:ascii="Arial" w:cs="Arial" w:eastAsia="Arial" w:hAnsi="Arial"/>
          <w:sz w:val="13"/>
          <w:szCs w:val="13"/>
          <w:color w:val="auto"/>
        </w:rPr>
        <w:t>except in the case of retirement, his actual bonus, if any, earned for the year of termination, determined as if he had been employed for the full year of termination, paid ratably over the remaining period of base salary payments;</w:t>
      </w:r>
    </w:p>
    <w:p>
      <w:pPr>
        <w:spacing w:after="0" w:line="139" w:lineRule="exact"/>
        <w:rPr>
          <w:rFonts w:ascii="Arial" w:cs="Arial" w:eastAsia="Arial" w:hAnsi="Arial"/>
          <w:sz w:val="13"/>
          <w:szCs w:val="13"/>
          <w:color w:val="FF4000"/>
        </w:rPr>
      </w:pPr>
    </w:p>
    <w:p>
      <w:pPr>
        <w:ind w:left="780" w:hanging="393"/>
        <w:spacing w:after="0"/>
        <w:tabs>
          <w:tab w:leader="none" w:pos="780" w:val="left"/>
        </w:tabs>
        <w:numPr>
          <w:ilvl w:val="0"/>
          <w:numId w:val="83"/>
        </w:numPr>
        <w:rPr>
          <w:rFonts w:ascii="Arial" w:cs="Arial" w:eastAsia="Arial" w:hAnsi="Arial"/>
          <w:sz w:val="13"/>
          <w:szCs w:val="13"/>
          <w:color w:val="FF4000"/>
        </w:rPr>
      </w:pPr>
      <w:r>
        <w:rPr>
          <w:rFonts w:ascii="Arial" w:cs="Arial" w:eastAsia="Arial" w:hAnsi="Arial"/>
          <w:sz w:val="13"/>
          <w:szCs w:val="13"/>
          <w:color w:val="auto"/>
        </w:rPr>
        <w:t>any unpaid bonus amounts from prior periods;</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83"/>
        </w:numPr>
        <w:rPr>
          <w:rFonts w:ascii="Arial" w:cs="Arial" w:eastAsia="Arial" w:hAnsi="Arial"/>
          <w:sz w:val="13"/>
          <w:szCs w:val="13"/>
          <w:color w:val="FF4000"/>
        </w:rPr>
      </w:pPr>
      <w:r>
        <w:rPr>
          <w:rFonts w:ascii="Arial" w:cs="Arial" w:eastAsia="Arial" w:hAnsi="Arial"/>
          <w:sz w:val="13"/>
          <w:szCs w:val="13"/>
          <w:color w:val="auto"/>
        </w:rPr>
        <w:t>any accrued but unpaid base salary and vacation days or unreimbursed expenses;</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83"/>
        </w:numPr>
        <w:rPr>
          <w:rFonts w:ascii="Arial" w:cs="Arial" w:eastAsia="Arial" w:hAnsi="Arial"/>
          <w:sz w:val="12"/>
          <w:szCs w:val="12"/>
          <w:color w:val="FF4000"/>
        </w:rPr>
      </w:pPr>
      <w:r>
        <w:rPr>
          <w:rFonts w:ascii="Arial" w:cs="Arial" w:eastAsia="Arial" w:hAnsi="Arial"/>
          <w:sz w:val="12"/>
          <w:szCs w:val="12"/>
          <w:color w:val="auto"/>
        </w:rPr>
        <w:t>costs of continued COBRA coverage under the Company's group health plan on behalf of the executive and his eligible dependents (described in more detail below), until the earlier of</w:t>
      </w:r>
    </w:p>
    <w:p>
      <w:pPr>
        <w:spacing w:after="0" w:line="7" w:lineRule="exact"/>
        <w:rPr>
          <w:rFonts w:ascii="Arial" w:cs="Arial" w:eastAsia="Arial" w:hAnsi="Arial"/>
          <w:sz w:val="12"/>
          <w:szCs w:val="12"/>
          <w:color w:val="FF4000"/>
        </w:rPr>
      </w:pPr>
    </w:p>
    <w:p>
      <w:pPr>
        <w:ind w:left="780"/>
        <w:spacing w:after="0"/>
        <w:rPr>
          <w:rFonts w:ascii="Arial" w:cs="Arial" w:eastAsia="Arial" w:hAnsi="Arial"/>
          <w:sz w:val="12"/>
          <w:szCs w:val="12"/>
          <w:color w:val="FF4000"/>
        </w:rPr>
      </w:pPr>
      <w:r>
        <w:rPr>
          <w:rFonts w:ascii="Arial" w:cs="Arial" w:eastAsia="Arial" w:hAnsi="Arial"/>
          <w:sz w:val="13"/>
          <w:szCs w:val="13"/>
          <w:color w:val="auto"/>
        </w:rPr>
        <w:t>(x) the 18-month anniversary of termination and (y) the date the executive becomes eligible to receive comparable benefits from a subsequent employer; and</w:t>
      </w:r>
    </w:p>
    <w:p>
      <w:pPr>
        <w:spacing w:after="0" w:line="142" w:lineRule="exact"/>
        <w:rPr>
          <w:rFonts w:ascii="Arial" w:cs="Arial" w:eastAsia="Arial" w:hAnsi="Arial"/>
          <w:sz w:val="12"/>
          <w:szCs w:val="12"/>
          <w:color w:val="FF4000"/>
        </w:rPr>
      </w:pPr>
    </w:p>
    <w:p>
      <w:pPr>
        <w:ind w:left="780" w:right="640" w:hanging="393"/>
        <w:spacing w:after="0" w:line="239" w:lineRule="auto"/>
        <w:tabs>
          <w:tab w:leader="none" w:pos="780" w:val="left"/>
        </w:tabs>
        <w:numPr>
          <w:ilvl w:val="0"/>
          <w:numId w:val="83"/>
        </w:numPr>
        <w:rPr>
          <w:rFonts w:ascii="Arial" w:cs="Arial" w:eastAsia="Arial" w:hAnsi="Arial"/>
          <w:sz w:val="13"/>
          <w:szCs w:val="13"/>
          <w:color w:val="FF4000"/>
        </w:rPr>
      </w:pPr>
      <w:r>
        <w:rPr>
          <w:rFonts w:ascii="Arial" w:cs="Arial" w:eastAsia="Arial" w:hAnsi="Arial"/>
          <w:sz w:val="13"/>
          <w:szCs w:val="13"/>
          <w:color w:val="auto"/>
        </w:rPr>
        <w:t>except in the case of retirement, continuation of life insurance coverage until the earlier of (x) the 18-month anniversary of termination and (y) the date the executive commences employment with a subsequent employer.</w:t>
      </w:r>
    </w:p>
    <w:p>
      <w:pPr>
        <w:spacing w:after="0" w:line="150" w:lineRule="exact"/>
        <w:rPr>
          <w:sz w:val="20"/>
          <w:szCs w:val="20"/>
          <w:color w:val="auto"/>
        </w:rPr>
      </w:pPr>
    </w:p>
    <w:p>
      <w:pPr>
        <w:ind w:right="280"/>
        <w:spacing w:after="0" w:line="239" w:lineRule="auto"/>
        <w:rPr>
          <w:sz w:val="20"/>
          <w:szCs w:val="20"/>
          <w:color w:val="auto"/>
        </w:rPr>
      </w:pPr>
      <w:r>
        <w:rPr>
          <w:rFonts w:ascii="Arial" w:cs="Arial" w:eastAsia="Arial" w:hAnsi="Arial"/>
          <w:sz w:val="13"/>
          <w:szCs w:val="13"/>
          <w:color w:val="auto"/>
        </w:rPr>
        <w:t>Under the Prior Kapoor Agreement, Mr. Kapoor was also entitled to the above severance amount in the event of the Company's non-renewal of his employment agreement but not in the event of his "retirement."</w:t>
      </w:r>
    </w:p>
    <w:p>
      <w:pPr>
        <w:spacing w:after="0" w:line="134" w:lineRule="exact"/>
        <w:rPr>
          <w:sz w:val="20"/>
          <w:szCs w:val="20"/>
          <w:color w:val="auto"/>
        </w:rPr>
      </w:pPr>
    </w:p>
    <w:p>
      <w:pPr>
        <w:spacing w:after="0" w:line="244" w:lineRule="auto"/>
        <w:rPr>
          <w:sz w:val="20"/>
          <w:szCs w:val="20"/>
          <w:color w:val="auto"/>
        </w:rPr>
      </w:pPr>
      <w:r>
        <w:rPr>
          <w:rFonts w:ascii="Arial" w:cs="Arial" w:eastAsia="Arial" w:hAnsi="Arial"/>
          <w:sz w:val="13"/>
          <w:szCs w:val="13"/>
          <w:b w:val="1"/>
          <w:bCs w:val="1"/>
          <w:color w:val="auto"/>
        </w:rPr>
        <w:t xml:space="preserve">Change-in-Control Cash Severance: </w:t>
      </w:r>
      <w:r>
        <w:rPr>
          <w:rFonts w:ascii="Arial" w:cs="Arial" w:eastAsia="Arial" w:hAnsi="Arial"/>
          <w:sz w:val="13"/>
          <w:szCs w:val="13"/>
          <w:color w:val="auto"/>
        </w:rPr>
        <w:t>If Mr. Kapoor's employment is terminated by us without "cause" or by the executive for "good reason" (in each case, as described above) within 12 months</w:t>
      </w:r>
      <w:r>
        <w:rPr>
          <w:rFonts w:ascii="Arial" w:cs="Arial" w:eastAsia="Arial" w:hAnsi="Arial"/>
          <w:sz w:val="13"/>
          <w:szCs w:val="13"/>
          <w:b w:val="1"/>
          <w:bCs w:val="1"/>
          <w:color w:val="auto"/>
        </w:rPr>
        <w:t xml:space="preserve"> </w:t>
      </w:r>
      <w:r>
        <w:rPr>
          <w:rFonts w:ascii="Arial" w:cs="Arial" w:eastAsia="Arial" w:hAnsi="Arial"/>
          <w:sz w:val="13"/>
          <w:szCs w:val="13"/>
          <w:color w:val="auto"/>
        </w:rPr>
        <w:t>following a "change in control" or in specific contemplation of a change in control, the executive will receive, in lieu of the cash severance described above, (1) a lump sum payment equal to 24 months of base salary and (2) his actual bonus, if any, earned for the year of termination, determined as if he had been employed for the full year of termination, paid ratably over the remaining period of base salary payments.</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b w:val="1"/>
          <w:bCs w:val="1"/>
          <w:color w:val="auto"/>
        </w:rPr>
        <w:t xml:space="preserve">Death or Disability: </w:t>
      </w:r>
      <w:r>
        <w:rPr>
          <w:rFonts w:ascii="Arial" w:cs="Arial" w:eastAsia="Arial" w:hAnsi="Arial"/>
          <w:sz w:val="13"/>
          <w:szCs w:val="13"/>
          <w:color w:val="auto"/>
        </w:rPr>
        <w:t>If Mr. Kapoor's employment terminates due to his death or is terminated by either the executive or us due to his disability, he (or his estate) will be entitled to a prorated portion of his</w:t>
      </w:r>
      <w:r>
        <w:rPr>
          <w:rFonts w:ascii="Arial" w:cs="Arial" w:eastAsia="Arial" w:hAnsi="Arial"/>
          <w:sz w:val="13"/>
          <w:szCs w:val="13"/>
          <w:b w:val="1"/>
          <w:bCs w:val="1"/>
          <w:color w:val="auto"/>
        </w:rPr>
        <w:t xml:space="preserve"> </w:t>
      </w:r>
      <w:r>
        <w:rPr>
          <w:rFonts w:ascii="Arial" w:cs="Arial" w:eastAsia="Arial" w:hAnsi="Arial"/>
          <w:sz w:val="13"/>
          <w:szCs w:val="13"/>
          <w:color w:val="auto"/>
        </w:rPr>
        <w:t>projected bonus amount for the year of termination.</w:t>
      </w:r>
    </w:p>
    <w:p>
      <w:pPr>
        <w:spacing w:after="0" w:line="119" w:lineRule="exact"/>
        <w:rPr>
          <w:sz w:val="20"/>
          <w:szCs w:val="20"/>
          <w:color w:val="auto"/>
        </w:rPr>
      </w:pPr>
    </w:p>
    <w:p>
      <w:pPr>
        <w:ind w:right="240"/>
        <w:spacing w:after="0" w:line="264" w:lineRule="auto"/>
        <w:rPr>
          <w:sz w:val="20"/>
          <w:szCs w:val="20"/>
          <w:color w:val="auto"/>
        </w:rPr>
      </w:pPr>
      <w:r>
        <w:rPr>
          <w:rFonts w:ascii="Arial" w:cs="Arial" w:eastAsia="Arial" w:hAnsi="Arial"/>
          <w:sz w:val="13"/>
          <w:szCs w:val="13"/>
          <w:b w:val="1"/>
          <w:bCs w:val="1"/>
          <w:color w:val="auto"/>
        </w:rPr>
        <w:t xml:space="preserve">Noncompetition and Non-solicitation Provisions: </w:t>
      </w:r>
      <w:r>
        <w:rPr>
          <w:rFonts w:ascii="Arial" w:cs="Arial" w:eastAsia="Arial" w:hAnsi="Arial"/>
          <w:sz w:val="13"/>
          <w:szCs w:val="13"/>
          <w:color w:val="auto"/>
        </w:rPr>
        <w:t>Mr. Kapoor is subject to confidentiality and non-disparagement restrictions at all times, as well as noncompetition and non-solicitation restrictions</w:t>
      </w:r>
      <w:r>
        <w:rPr>
          <w:rFonts w:ascii="Arial" w:cs="Arial" w:eastAsia="Arial" w:hAnsi="Arial"/>
          <w:sz w:val="13"/>
          <w:szCs w:val="13"/>
          <w:b w:val="1"/>
          <w:bCs w:val="1"/>
          <w:color w:val="auto"/>
        </w:rPr>
        <w:t xml:space="preserve"> </w:t>
      </w:r>
      <w:r>
        <w:rPr>
          <w:rFonts w:ascii="Arial" w:cs="Arial" w:eastAsia="Arial" w:hAnsi="Arial"/>
          <w:sz w:val="13"/>
          <w:szCs w:val="13"/>
          <w:color w:val="auto"/>
        </w:rPr>
        <w:t>during his employment and for one year thereafter.</w:t>
      </w:r>
    </w:p>
    <w:p>
      <w:pPr>
        <w:spacing w:after="0" w:line="119" w:lineRule="exact"/>
        <w:rPr>
          <w:sz w:val="20"/>
          <w:szCs w:val="20"/>
          <w:color w:val="auto"/>
        </w:rPr>
      </w:pPr>
    </w:p>
    <w:p>
      <w:pPr>
        <w:ind w:right="280"/>
        <w:spacing w:after="0" w:line="249" w:lineRule="auto"/>
        <w:rPr>
          <w:sz w:val="20"/>
          <w:szCs w:val="20"/>
          <w:color w:val="auto"/>
        </w:rPr>
      </w:pPr>
      <w:r>
        <w:rPr>
          <w:rFonts w:ascii="Arial" w:cs="Arial" w:eastAsia="Arial" w:hAnsi="Arial"/>
          <w:sz w:val="13"/>
          <w:szCs w:val="13"/>
          <w:b w:val="1"/>
          <w:bCs w:val="1"/>
          <w:color w:val="auto"/>
        </w:rPr>
        <w:t xml:space="preserve">Annual Equity Awards: </w:t>
      </w:r>
      <w:r>
        <w:rPr>
          <w:rFonts w:ascii="Arial" w:cs="Arial" w:eastAsia="Arial" w:hAnsi="Arial"/>
          <w:sz w:val="13"/>
          <w:szCs w:val="13"/>
          <w:color w:val="auto"/>
        </w:rPr>
        <w:t>If Mr. Kapoor's employment is terminated by us without cause or by Mr. Kapoor for good reason, Mr. Kapoor will be treated as if he was still employed by the Company for a</w:t>
      </w:r>
      <w:r>
        <w:rPr>
          <w:rFonts w:ascii="Arial" w:cs="Arial" w:eastAsia="Arial" w:hAnsi="Arial"/>
          <w:sz w:val="13"/>
          <w:szCs w:val="13"/>
          <w:b w:val="1"/>
          <w:bCs w:val="1"/>
          <w:color w:val="auto"/>
        </w:rPr>
        <w:t xml:space="preserve"> </w:t>
      </w:r>
      <w:r>
        <w:rPr>
          <w:rFonts w:ascii="Arial" w:cs="Arial" w:eastAsia="Arial" w:hAnsi="Arial"/>
          <w:sz w:val="13"/>
          <w:szCs w:val="13"/>
          <w:color w:val="auto"/>
        </w:rPr>
        <w:t>period of twenty-seven months (two years under the Prior Kapoor Agreement) following the termination date. On a "change in control" (as defined in the 2006 Plan, 2015 Plan, or 2018 Plan, as applicable), retirement (as defined below), or on death, Mr. Kapoor's outstanding annual equity awards will vest as described below:</w:t>
      </w:r>
    </w:p>
    <w:p>
      <w:pPr>
        <w:spacing w:after="0" w:line="128" w:lineRule="exact"/>
        <w:rPr>
          <w:sz w:val="20"/>
          <w:szCs w:val="20"/>
          <w:color w:val="auto"/>
        </w:rPr>
      </w:pPr>
    </w:p>
    <w:p>
      <w:pPr>
        <w:ind w:right="640"/>
        <w:spacing w:after="0" w:line="264" w:lineRule="auto"/>
        <w:rPr>
          <w:sz w:val="20"/>
          <w:szCs w:val="20"/>
          <w:color w:val="auto"/>
        </w:rPr>
      </w:pPr>
      <w:r>
        <w:rPr>
          <w:rFonts w:ascii="Arial" w:cs="Arial" w:eastAsia="Arial" w:hAnsi="Arial"/>
          <w:sz w:val="13"/>
          <w:szCs w:val="13"/>
          <w:b w:val="1"/>
          <w:bCs w:val="1"/>
          <w:color w:val="auto"/>
        </w:rPr>
        <w:t xml:space="preserve">Time-Vested RSUs: </w:t>
      </w:r>
      <w:r>
        <w:rPr>
          <w:rFonts w:ascii="Arial" w:cs="Arial" w:eastAsia="Arial" w:hAnsi="Arial"/>
          <w:sz w:val="13"/>
          <w:szCs w:val="13"/>
          <w:color w:val="auto"/>
        </w:rPr>
        <w:t>If a change in control occurs prior to the end of the four-year vesting period, Mr. Kapoor's Time-Vested RSUs will be advanced by one year. In addition, all of Mr. Kapoor's</w:t>
      </w:r>
      <w:r>
        <w:rPr>
          <w:rFonts w:ascii="Arial" w:cs="Arial" w:eastAsia="Arial" w:hAnsi="Arial"/>
          <w:sz w:val="13"/>
          <w:szCs w:val="13"/>
          <w:b w:val="1"/>
          <w:bCs w:val="1"/>
          <w:color w:val="auto"/>
        </w:rPr>
        <w:t xml:space="preserve"> </w:t>
      </w:r>
      <w:r>
        <w:rPr>
          <w:rFonts w:ascii="Arial" w:cs="Arial" w:eastAsia="Arial" w:hAnsi="Arial"/>
          <w:sz w:val="13"/>
          <w:szCs w:val="13"/>
          <w:color w:val="auto"/>
        </w:rPr>
        <w:t>outstanding Time-Vested RSUs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182880</wp:posOffset>
            </wp:positionV>
            <wp:extent cx="1408430" cy="3333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95" w:name="page96"/>
    <w:bookmarkEnd w:id="95"/>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842"/>
        <w:spacing w:after="0"/>
        <w:rPr>
          <w:sz w:val="20"/>
          <w:szCs w:val="20"/>
          <w:color w:val="auto"/>
        </w:rPr>
      </w:pPr>
      <w:r>
        <w:rPr>
          <w:rFonts w:ascii="Arial" w:cs="Arial" w:eastAsia="Arial" w:hAnsi="Arial"/>
          <w:sz w:val="10"/>
          <w:szCs w:val="10"/>
          <w:b w:val="1"/>
          <w:bCs w:val="1"/>
          <w:color w:val="CCD9D9"/>
        </w:rPr>
        <w:t>EXECUTIVE COMPENSATION</w:t>
      </w:r>
    </w:p>
    <w:p>
      <w:pPr>
        <w:spacing w:after="0" w:line="168" w:lineRule="exact"/>
        <w:rPr>
          <w:sz w:val="20"/>
          <w:szCs w:val="20"/>
          <w:color w:val="auto"/>
        </w:rPr>
      </w:pPr>
    </w:p>
    <w:p>
      <w:pPr>
        <w:ind w:left="2" w:right="60"/>
        <w:spacing w:after="0" w:line="236" w:lineRule="auto"/>
        <w:rPr>
          <w:sz w:val="20"/>
          <w:szCs w:val="20"/>
          <w:color w:val="auto"/>
        </w:rPr>
      </w:pPr>
      <w:r>
        <w:rPr>
          <w:rFonts w:ascii="Arial" w:cs="Arial" w:eastAsia="Arial" w:hAnsi="Arial"/>
          <w:sz w:val="13"/>
          <w:szCs w:val="13"/>
          <w:color w:val="auto"/>
        </w:rPr>
        <w:t>become fully vested if he is terminated without cause in specific contemplation of or within 12 months following a change in control, or he voluntarily terminates his employment for good reason within 12 months following a change in control. If Mr. Kapoor dies before the end of the four-year vesting period, all of Mr. Kapoor's outstanding Time-Vested RSUs will become fully vested. For awards granted in 2020, if Mr. Kapoor retires and the applicable award has been outstanding for at least 6 months, Mr. Kapoor will become fully vested in any unvested RSUs that would have vested within the next 12 months absent his retirement.</w:t>
      </w:r>
    </w:p>
    <w:p>
      <w:pPr>
        <w:spacing w:after="0" w:line="135" w:lineRule="exact"/>
        <w:rPr>
          <w:sz w:val="20"/>
          <w:szCs w:val="20"/>
          <w:color w:val="auto"/>
        </w:rPr>
      </w:pPr>
    </w:p>
    <w:p>
      <w:pPr>
        <w:ind w:left="2" w:right="60"/>
        <w:spacing w:after="0" w:line="259" w:lineRule="auto"/>
        <w:rPr>
          <w:sz w:val="20"/>
          <w:szCs w:val="20"/>
          <w:color w:val="auto"/>
        </w:rPr>
      </w:pPr>
      <w:r>
        <w:rPr>
          <w:rFonts w:ascii="Arial" w:cs="Arial" w:eastAsia="Arial" w:hAnsi="Arial"/>
          <w:sz w:val="12"/>
          <w:szCs w:val="12"/>
          <w:b w:val="1"/>
          <w:bCs w:val="1"/>
          <w:color w:val="auto"/>
        </w:rPr>
        <w:t xml:space="preserve">Revenue-Linked PRSUs: </w:t>
      </w:r>
      <w:r>
        <w:rPr>
          <w:rFonts w:ascii="Arial" w:cs="Arial" w:eastAsia="Arial" w:hAnsi="Arial"/>
          <w:sz w:val="12"/>
          <w:szCs w:val="12"/>
          <w:color w:val="auto"/>
        </w:rPr>
        <w:t>If a change in control occurs prior to the end of the performance period, 100% of target of Mr. Kapoor's Revenue-Linked PRSUs will be deemed earned, will be subject to a</w:t>
      </w:r>
      <w:r>
        <w:rPr>
          <w:rFonts w:ascii="Arial" w:cs="Arial" w:eastAsia="Arial" w:hAnsi="Arial"/>
          <w:sz w:val="12"/>
          <w:szCs w:val="12"/>
          <w:b w:val="1"/>
          <w:bCs w:val="1"/>
          <w:color w:val="auto"/>
        </w:rPr>
        <w:t xml:space="preserve"> </w:t>
      </w:r>
      <w:r>
        <w:rPr>
          <w:rFonts w:ascii="Arial" w:cs="Arial" w:eastAsia="Arial" w:hAnsi="Arial"/>
          <w:sz w:val="12"/>
          <w:szCs w:val="12"/>
          <w:color w:val="auto"/>
        </w:rPr>
        <w:t>three-year installment vesting schedule and will be advanced by one year under such schedule. In addition, all of Mr. Kapoor's outstanding Revenue-Linked PRSUs will become fully vested if, (i) he is terminated without cause in specific contemplation of or within 12 months following a change in control; (ii) he voluntarily terminates his employment for good reason within 12 months following a change in control; or (iii) he dies following a change in control. If Mr. Kapoor dies prior to the end of the performance period and no change in control has occurred, Mr. Kapoor will become vested in a portion of the outstanding Revenue-Linked PRSUs equal to (x) the number of completed full months during the three-year performance period up to the date of Mr. Kapoor's death divided by (y) 36 multiplied by</w:t>
      </w:r>
    </w:p>
    <w:p>
      <w:pPr>
        <w:spacing w:after="0" w:line="1" w:lineRule="exact"/>
        <w:rPr>
          <w:sz w:val="20"/>
          <w:szCs w:val="20"/>
          <w:color w:val="auto"/>
        </w:rPr>
      </w:pPr>
    </w:p>
    <w:p>
      <w:pPr>
        <w:ind w:left="2" w:right="240" w:hanging="2"/>
        <w:spacing w:after="0" w:line="237" w:lineRule="auto"/>
        <w:tabs>
          <w:tab w:leader="none" w:pos="185" w:val="left"/>
        </w:tabs>
        <w:numPr>
          <w:ilvl w:val="0"/>
          <w:numId w:val="84"/>
        </w:numPr>
        <w:rPr>
          <w:rFonts w:ascii="Arial" w:cs="Arial" w:eastAsia="Arial" w:hAnsi="Arial"/>
          <w:sz w:val="13"/>
          <w:szCs w:val="13"/>
          <w:color w:val="auto"/>
        </w:rPr>
      </w:pPr>
      <w:r>
        <w:rPr>
          <w:rFonts w:ascii="Arial" w:cs="Arial" w:eastAsia="Arial" w:hAnsi="Arial"/>
          <w:sz w:val="13"/>
          <w:szCs w:val="13"/>
          <w:color w:val="auto"/>
        </w:rPr>
        <w:t>100% of Mr. Kapoor's Revenue-Linked PRSUs. For awards granted in 2020, if Mr. Kapoor retires and the award has been outstanding for at least 6 months, Mr. Kapoor will become vested in a portion of the outstanding Revenue-Linked PRSUs equal to (x) the number of years of service completed by Mr. Kapoor from the grant date (rounding up to the closest whole number) divided by (y) 3 multiplied by (z) the number of Revenue-Linked PRSUs earned based on actual performance.</w:t>
      </w:r>
    </w:p>
    <w:p>
      <w:pPr>
        <w:spacing w:after="0" w:line="134" w:lineRule="exact"/>
        <w:rPr>
          <w:sz w:val="20"/>
          <w:szCs w:val="20"/>
          <w:color w:val="auto"/>
        </w:rPr>
      </w:pPr>
    </w:p>
    <w:p>
      <w:pPr>
        <w:ind w:left="2" w:right="40"/>
        <w:spacing w:after="0" w:line="259" w:lineRule="auto"/>
        <w:rPr>
          <w:sz w:val="20"/>
          <w:szCs w:val="20"/>
          <w:color w:val="auto"/>
        </w:rPr>
      </w:pPr>
      <w:r>
        <w:rPr>
          <w:rFonts w:ascii="Arial" w:cs="Arial" w:eastAsia="Arial" w:hAnsi="Arial"/>
          <w:sz w:val="12"/>
          <w:szCs w:val="12"/>
          <w:b w:val="1"/>
          <w:bCs w:val="1"/>
          <w:color w:val="auto"/>
        </w:rPr>
        <w:t xml:space="preserve">Relative TSR-Linked PRSUs: </w:t>
      </w:r>
      <w:r>
        <w:rPr>
          <w:rFonts w:ascii="Arial" w:cs="Arial" w:eastAsia="Arial" w:hAnsi="Arial"/>
          <w:sz w:val="12"/>
          <w:szCs w:val="12"/>
          <w:color w:val="auto"/>
        </w:rPr>
        <w:t>If a change in control occurs on or prior to the first anniversary of the grant date, 100% of target of Mr. Kapoor's Relative TSR-Linked PRSUs will be deemed earned. If a</w:t>
      </w:r>
      <w:r>
        <w:rPr>
          <w:rFonts w:ascii="Arial" w:cs="Arial" w:eastAsia="Arial" w:hAnsi="Arial"/>
          <w:sz w:val="12"/>
          <w:szCs w:val="12"/>
          <w:b w:val="1"/>
          <w:bCs w:val="1"/>
          <w:color w:val="auto"/>
        </w:rPr>
        <w:t xml:space="preserve"> </w:t>
      </w:r>
      <w:r>
        <w:rPr>
          <w:rFonts w:ascii="Arial" w:cs="Arial" w:eastAsia="Arial" w:hAnsi="Arial"/>
          <w:sz w:val="12"/>
          <w:szCs w:val="12"/>
          <w:color w:val="auto"/>
        </w:rPr>
        <w:t>change in control occurs after the first anniversary of the grant date, the performance period will be deemed to end on the date of the change in control and the Compensation Committee will determine the number of earned Relative TSR-Linked PRSUs based on the TSR of the Company and the peer group as of such date. In either scenario, the Relative TSR-Linked PRSUs that are deemed earned will be subject to a three year installment vesting schedule and will be advanced by one year under such schedule. In addition, all of Mr. Kapoor's outstanding Relative TSR-Linked PRSUs will become fully vested if, following or in specific contemplation of a change in control, he is terminated without cause or, following a change in control, he (i) voluntarily terminates his employment for good reason or</w:t>
      </w:r>
    </w:p>
    <w:p>
      <w:pPr>
        <w:spacing w:after="0" w:line="1" w:lineRule="exact"/>
        <w:rPr>
          <w:sz w:val="20"/>
          <w:szCs w:val="20"/>
          <w:color w:val="auto"/>
        </w:rPr>
      </w:pPr>
    </w:p>
    <w:p>
      <w:pPr>
        <w:ind w:left="2" w:right="120" w:hanging="2"/>
        <w:spacing w:after="0" w:line="236" w:lineRule="auto"/>
        <w:tabs>
          <w:tab w:leader="none" w:pos="178" w:val="left"/>
        </w:tabs>
        <w:numPr>
          <w:ilvl w:val="0"/>
          <w:numId w:val="85"/>
        </w:numPr>
        <w:rPr>
          <w:rFonts w:ascii="Arial" w:cs="Arial" w:eastAsia="Arial" w:hAnsi="Arial"/>
          <w:sz w:val="13"/>
          <w:szCs w:val="13"/>
          <w:color w:val="auto"/>
        </w:rPr>
      </w:pPr>
      <w:r>
        <w:rPr>
          <w:rFonts w:ascii="Arial" w:cs="Arial" w:eastAsia="Arial" w:hAnsi="Arial"/>
          <w:sz w:val="13"/>
          <w:szCs w:val="13"/>
          <w:color w:val="auto"/>
        </w:rPr>
        <w:t>dies. If Mr. Kapoor dies prior to the end of the performance period and no change in control has occurred, Mr. Kapoor will become vested in a portion of the outstanding Relative TSR-Linked PRSUs equal to (x) the number of completed full months during the 3 year performance period up to the date of Mr. Kapoor's death divided by (y) 36 multiplied by (z) 100% of Mr. Kapoor's Relative TSR-Linked PRSUs. For awards granted in 2020, if Mr. Kapoor retires and the award has been outstanding for at least 6 months, Mr. Kapoor will become vested in a portion of the outstanding Revenue-Linked PRSUs equal to (x) the number of years of service completed by Mr. Kapoor from the grant date (rounding up to the closest whole number) divided by (y) 3 multiplied by (z) the number of Revenue-Linked PRSUs earned based on actual performance.</w:t>
      </w:r>
    </w:p>
    <w:p>
      <w:pPr>
        <w:spacing w:after="0" w:line="134" w:lineRule="exact"/>
        <w:rPr>
          <w:sz w:val="20"/>
          <w:szCs w:val="20"/>
          <w:color w:val="auto"/>
        </w:rPr>
      </w:pPr>
    </w:p>
    <w:p>
      <w:pPr>
        <w:jc w:val="both"/>
        <w:ind w:left="2" w:right="300"/>
        <w:spacing w:after="0" w:line="249" w:lineRule="auto"/>
        <w:rPr>
          <w:sz w:val="20"/>
          <w:szCs w:val="20"/>
          <w:color w:val="auto"/>
        </w:rPr>
      </w:pPr>
      <w:r>
        <w:rPr>
          <w:rFonts w:ascii="Arial" w:cs="Arial" w:eastAsia="Arial" w:hAnsi="Arial"/>
          <w:sz w:val="13"/>
          <w:szCs w:val="13"/>
          <w:b w:val="1"/>
          <w:bCs w:val="1"/>
          <w:color w:val="auto"/>
        </w:rPr>
        <w:t xml:space="preserve">Release of Claims: </w:t>
      </w:r>
      <w:r>
        <w:rPr>
          <w:rFonts w:ascii="Arial" w:cs="Arial" w:eastAsia="Arial" w:hAnsi="Arial"/>
          <w:sz w:val="13"/>
          <w:szCs w:val="13"/>
          <w:color w:val="auto"/>
        </w:rPr>
        <w:t>Mr. Kapoor's severance payments and termination-related equity acceleration are subject to his execution of a release of claims against us, his not having committed a material</w:t>
      </w:r>
      <w:r>
        <w:rPr>
          <w:rFonts w:ascii="Arial" w:cs="Arial" w:eastAsia="Arial" w:hAnsi="Arial"/>
          <w:sz w:val="13"/>
          <w:szCs w:val="13"/>
          <w:b w:val="1"/>
          <w:bCs w:val="1"/>
          <w:color w:val="auto"/>
        </w:rPr>
        <w:t xml:space="preserve"> </w:t>
      </w:r>
      <w:r>
        <w:rPr>
          <w:rFonts w:ascii="Arial" w:cs="Arial" w:eastAsia="Arial" w:hAnsi="Arial"/>
          <w:sz w:val="13"/>
          <w:szCs w:val="13"/>
          <w:color w:val="auto"/>
        </w:rPr>
        <w:t>breach of the restrictive covenants that has remained uncured for 15 days after we have given him notice of such breach and his resignation from the board of directors and all committees thereof, if requested by the Company.</w:t>
      </w:r>
    </w:p>
    <w:p>
      <w:pPr>
        <w:spacing w:after="0" w:line="128" w:lineRule="exact"/>
        <w:rPr>
          <w:sz w:val="20"/>
          <w:szCs w:val="20"/>
          <w:color w:val="auto"/>
        </w:rPr>
      </w:pPr>
    </w:p>
    <w:p>
      <w:pPr>
        <w:jc w:val="both"/>
        <w:ind w:left="2" w:right="20"/>
        <w:spacing w:after="0" w:line="249" w:lineRule="auto"/>
        <w:rPr>
          <w:sz w:val="20"/>
          <w:szCs w:val="20"/>
          <w:color w:val="auto"/>
        </w:rPr>
      </w:pPr>
      <w:r>
        <w:rPr>
          <w:rFonts w:ascii="Arial" w:cs="Arial" w:eastAsia="Arial" w:hAnsi="Arial"/>
          <w:sz w:val="13"/>
          <w:szCs w:val="13"/>
          <w:b w:val="1"/>
          <w:bCs w:val="1"/>
          <w:color w:val="auto"/>
        </w:rPr>
        <w:t xml:space="preserve">Code Section 280G: </w:t>
      </w:r>
      <w:r>
        <w:rPr>
          <w:rFonts w:ascii="Arial" w:cs="Arial" w:eastAsia="Arial" w:hAnsi="Arial"/>
          <w:sz w:val="13"/>
          <w:szCs w:val="13"/>
          <w:color w:val="auto"/>
        </w:rPr>
        <w:t>Mr. Kapoor's employment agreement also contains a "modified cut-back" provision such that any payments that constitute "excess parachute payments" under Section 280G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5762625</wp:posOffset>
            </wp:positionH>
            <wp:positionV relativeFrom="paragraph">
              <wp:posOffset>188595</wp:posOffset>
            </wp:positionV>
            <wp:extent cx="1408430" cy="3333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862"/>
        <w:spacing w:after="0"/>
        <w:rPr>
          <w:sz w:val="20"/>
          <w:szCs w:val="20"/>
          <w:color w:val="auto"/>
        </w:rPr>
      </w:pPr>
      <w:r>
        <w:rPr>
          <w:rFonts w:ascii="Arial" w:cs="Arial" w:eastAsia="Arial" w:hAnsi="Arial"/>
          <w:sz w:val="13"/>
          <w:szCs w:val="13"/>
          <w:color w:val="FFFFFE"/>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177405" cy="19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2"/>
          </w:cols>
          <w:pgMar w:left="298" w:top="142" w:right="299" w:bottom="1440" w:gutter="0" w:footer="0" w:header="0"/>
        </w:sectPr>
      </w:pPr>
    </w:p>
    <w:bookmarkStart w:id="96" w:name="page97"/>
    <w:bookmarkEnd w:id="96"/>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 w:type="dxa"/>
        <w:tblCellMar>
          <w:top w:w="0" w:type="dxa"/>
          <w:left w:w="0" w:type="dxa"/>
          <w:bottom w:w="0" w:type="dxa"/>
          <w:right w:w="0" w:type="dxa"/>
        </w:tblCellMar>
      </w:tblPr>
      <w:tr>
        <w:trPr>
          <w:trHeight w:val="136"/>
        </w:trPr>
        <w:tc>
          <w:tcPr>
            <w:tcW w:w="5300" w:type="dxa"/>
            <w:vAlign w:val="bottom"/>
          </w:tcPr>
          <w:p>
            <w:pPr>
              <w:spacing w:after="0"/>
              <w:rPr>
                <w:sz w:val="20"/>
                <w:szCs w:val="20"/>
                <w:color w:val="auto"/>
              </w:rPr>
            </w:pPr>
            <w:r>
              <w:rPr>
                <w:rFonts w:ascii="Arial" w:cs="Arial" w:eastAsia="Arial" w:hAnsi="Arial"/>
                <w:sz w:val="10"/>
                <w:szCs w:val="10"/>
                <w:b w:val="1"/>
                <w:bCs w:val="1"/>
                <w:color w:val="CCD9D9"/>
              </w:rPr>
              <w:t>EXECUTIVE COMPENSATION</w:t>
            </w: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300"/>
        </w:trPr>
        <w:tc>
          <w:tcPr>
            <w:tcW w:w="5300" w:type="dxa"/>
            <w:vAlign w:val="bottom"/>
          </w:tcPr>
          <w:p>
            <w:pPr>
              <w:spacing w:after="0"/>
              <w:rPr>
                <w:sz w:val="20"/>
                <w:szCs w:val="20"/>
                <w:color w:val="auto"/>
              </w:rPr>
            </w:pPr>
            <w:r>
              <w:rPr>
                <w:rFonts w:ascii="Arial" w:cs="Arial" w:eastAsia="Arial" w:hAnsi="Arial"/>
                <w:sz w:val="13"/>
                <w:szCs w:val="13"/>
                <w:b w:val="1"/>
                <w:bCs w:val="1"/>
                <w:color w:val="479EFF"/>
              </w:rPr>
              <w:t>Indicative Payouts for Rohit Kapoor</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9"/>
        </w:trPr>
        <w:tc>
          <w:tcPr>
            <w:tcW w:w="5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jc w:val="center"/>
              <w:ind w:left="17"/>
              <w:spacing w:after="0"/>
              <w:rPr>
                <w:sz w:val="20"/>
                <w:szCs w:val="20"/>
                <w:color w:val="auto"/>
              </w:rPr>
            </w:pPr>
            <w:r>
              <w:rPr>
                <w:rFonts w:ascii="Arial" w:cs="Arial" w:eastAsia="Arial" w:hAnsi="Arial"/>
                <w:sz w:val="13"/>
                <w:szCs w:val="13"/>
                <w:b w:val="1"/>
                <w:bCs w:val="1"/>
                <w:color w:val="479EFF"/>
                <w:w w:val="96"/>
              </w:rPr>
              <w:t>Termination</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Without Cause or</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37"/>
              <w:spacing w:after="0" w:line="146" w:lineRule="exact"/>
              <w:rPr>
                <w:sz w:val="20"/>
                <w:szCs w:val="20"/>
                <w:color w:val="auto"/>
              </w:rPr>
            </w:pPr>
            <w:r>
              <w:rPr>
                <w:rFonts w:ascii="Arial" w:cs="Arial" w:eastAsia="Arial" w:hAnsi="Arial"/>
                <w:sz w:val="13"/>
                <w:szCs w:val="13"/>
                <w:b w:val="1"/>
                <w:bCs w:val="1"/>
                <w:color w:val="479EFF"/>
                <w:w w:val="96"/>
              </w:rPr>
              <w:t>for Good Reason</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Following Change</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7"/>
              </w:rPr>
              <w:t>in Control or</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Termination</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Without Cause</w:t>
            </w:r>
          </w:p>
        </w:tc>
      </w:tr>
      <w:tr>
        <w:trPr>
          <w:trHeight w:val="146"/>
        </w:trPr>
        <w:tc>
          <w:tcPr>
            <w:tcW w:w="53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Death Prior to</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Death After</w:t>
            </w:r>
          </w:p>
        </w:tc>
        <w:tc>
          <w:tcPr>
            <w:tcW w:w="76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Termination for</w:t>
            </w: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8"/>
              </w:rPr>
              <w:t>in Specific</w:t>
            </w:r>
          </w:p>
        </w:tc>
      </w:tr>
      <w:tr>
        <w:trPr>
          <w:trHeight w:val="146"/>
        </w:trPr>
        <w:tc>
          <w:tcPr>
            <w:tcW w:w="53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9"/>
              </w:rPr>
              <w:t>a Change</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9"/>
              </w:rPr>
              <w:t>a Change</w:t>
            </w:r>
          </w:p>
        </w:tc>
        <w:tc>
          <w:tcPr>
            <w:tcW w:w="76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Good Reason or</w:t>
            </w:r>
          </w:p>
        </w:tc>
        <w:tc>
          <w:tcPr>
            <w:tcW w:w="80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rPr>
              <w:t>Change</w:t>
            </w: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7"/>
              </w:rPr>
              <w:t>Contemplation of</w:t>
            </w:r>
          </w:p>
        </w:tc>
      </w:tr>
      <w:tr>
        <w:trPr>
          <w:trHeight w:val="146"/>
        </w:trPr>
        <w:tc>
          <w:tcPr>
            <w:tcW w:w="53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760" w:type="dxa"/>
            <w:vAlign w:val="bottom"/>
          </w:tcPr>
          <w:p>
            <w:pPr>
              <w:jc w:val="right"/>
              <w:ind w:right="37"/>
              <w:spacing w:after="0" w:line="146" w:lineRule="exact"/>
              <w:rPr>
                <w:sz w:val="20"/>
                <w:szCs w:val="20"/>
                <w:color w:val="auto"/>
              </w:rPr>
            </w:pPr>
            <w:r>
              <w:rPr>
                <w:rFonts w:ascii="Arial" w:cs="Arial" w:eastAsia="Arial" w:hAnsi="Arial"/>
                <w:sz w:val="13"/>
                <w:szCs w:val="13"/>
                <w:b w:val="1"/>
                <w:bCs w:val="1"/>
                <w:color w:val="479EFF"/>
              </w:rPr>
              <w:t>Disability</w:t>
            </w:r>
          </w:p>
        </w:tc>
        <w:tc>
          <w:tcPr>
            <w:tcW w:w="11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Without Cause</w:t>
            </w:r>
          </w:p>
        </w:tc>
        <w:tc>
          <w:tcPr>
            <w:tcW w:w="80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1200" w:type="dxa"/>
            <w:vAlign w:val="bottom"/>
          </w:tcPr>
          <w:p>
            <w:pPr>
              <w:jc w:val="center"/>
              <w:ind w:left="37"/>
              <w:spacing w:after="0" w:line="146" w:lineRule="exact"/>
              <w:rPr>
                <w:sz w:val="20"/>
                <w:szCs w:val="20"/>
                <w:color w:val="auto"/>
              </w:rPr>
            </w:pPr>
            <w:r>
              <w:rPr>
                <w:rFonts w:ascii="Arial" w:cs="Arial" w:eastAsia="Arial" w:hAnsi="Arial"/>
                <w:sz w:val="13"/>
                <w:szCs w:val="13"/>
                <w:b w:val="1"/>
                <w:bCs w:val="1"/>
                <w:color w:val="479EFF"/>
                <w:w w:val="97"/>
              </w:rPr>
              <w:t>Change in Control</w:t>
            </w:r>
          </w:p>
        </w:tc>
      </w:tr>
      <w:tr>
        <w:trPr>
          <w:trHeight w:val="169"/>
        </w:trPr>
        <w:tc>
          <w:tcPr>
            <w:tcW w:w="5300" w:type="dxa"/>
            <w:vAlign w:val="bottom"/>
            <w:tcBorders>
              <w:bottom w:val="single" w:sz="8" w:color="479EFF"/>
            </w:tcBorders>
          </w:tcPr>
          <w:p>
            <w:pPr>
              <w:spacing w:after="0"/>
              <w:rPr>
                <w:sz w:val="20"/>
                <w:szCs w:val="20"/>
                <w:color w:val="auto"/>
              </w:rPr>
            </w:pPr>
            <w:r>
              <w:rPr>
                <w:rFonts w:ascii="Arial" w:cs="Arial" w:eastAsia="Arial" w:hAnsi="Arial"/>
                <w:sz w:val="13"/>
                <w:szCs w:val="13"/>
                <w:b w:val="1"/>
                <w:bCs w:val="1"/>
                <w:color w:val="479EFF"/>
              </w:rPr>
              <w:t>Payments upon Termination</w:t>
            </w:r>
          </w:p>
        </w:tc>
        <w:tc>
          <w:tcPr>
            <w:tcW w:w="102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88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w w:val="87"/>
              </w:rPr>
              <w:t>($)</w:t>
            </w:r>
          </w:p>
        </w:tc>
        <w:tc>
          <w:tcPr>
            <w:tcW w:w="760" w:type="dxa"/>
            <w:vAlign w:val="bottom"/>
            <w:tcBorders>
              <w:bottom w:val="single" w:sz="8" w:color="479EFF"/>
            </w:tcBorders>
          </w:tcPr>
          <w:p>
            <w:pPr>
              <w:jc w:val="right"/>
              <w:ind w:right="237"/>
              <w:spacing w:after="0"/>
              <w:rPr>
                <w:sz w:val="20"/>
                <w:szCs w:val="20"/>
                <w:color w:val="auto"/>
              </w:rPr>
            </w:pPr>
            <w:r>
              <w:rPr>
                <w:rFonts w:ascii="Arial" w:cs="Arial" w:eastAsia="Arial" w:hAnsi="Arial"/>
                <w:sz w:val="13"/>
                <w:szCs w:val="13"/>
                <w:b w:val="1"/>
                <w:bCs w:val="1"/>
                <w:color w:val="479EFF"/>
              </w:rPr>
              <w:t>($)</w:t>
            </w:r>
          </w:p>
        </w:tc>
        <w:tc>
          <w:tcPr>
            <w:tcW w:w="118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w w:val="87"/>
              </w:rPr>
              <w:t>($)</w:t>
            </w:r>
          </w:p>
        </w:tc>
        <w:tc>
          <w:tcPr>
            <w:tcW w:w="80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1200" w:type="dxa"/>
            <w:vAlign w:val="bottom"/>
            <w:tcBorders>
              <w:bottom w:val="single" w:sz="8" w:color="479EFF"/>
            </w:tcBorders>
          </w:tcPr>
          <w:p>
            <w:pPr>
              <w:jc w:val="center"/>
              <w:ind w:left="17"/>
              <w:spacing w:after="0"/>
              <w:rPr>
                <w:sz w:val="20"/>
                <w:szCs w:val="20"/>
                <w:color w:val="auto"/>
              </w:rPr>
            </w:pPr>
            <w:r>
              <w:rPr>
                <w:rFonts w:ascii="Arial" w:cs="Arial" w:eastAsia="Arial" w:hAnsi="Arial"/>
                <w:sz w:val="13"/>
                <w:szCs w:val="13"/>
                <w:b w:val="1"/>
                <w:bCs w:val="1"/>
                <w:color w:val="479EFF"/>
              </w:rPr>
              <w:t>($)</w:t>
            </w:r>
          </w:p>
        </w:tc>
      </w:tr>
      <w:tr>
        <w:trPr>
          <w:trHeight w:val="146"/>
        </w:trPr>
        <w:tc>
          <w:tcPr>
            <w:tcW w:w="530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Base salary payout</w:t>
            </w:r>
          </w:p>
        </w:tc>
        <w:tc>
          <w:tcPr>
            <w:tcW w:w="102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right w:val="single" w:sz="8" w:color="auto"/>
            </w:tcBorders>
          </w:tcPr>
          <w:p>
            <w:pPr>
              <w:jc w:val="right"/>
              <w:ind w:right="77"/>
              <w:spacing w:after="0" w:line="146"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right w:val="single" w:sz="8" w:color="auto"/>
            </w:tcBorders>
          </w:tcPr>
          <w:p>
            <w:pPr>
              <w:jc w:val="right"/>
              <w:ind w:right="258"/>
              <w:spacing w:after="0" w:line="146" w:lineRule="exact"/>
              <w:rPr>
                <w:sz w:val="20"/>
                <w:szCs w:val="20"/>
                <w:color w:val="auto"/>
              </w:rPr>
            </w:pPr>
            <w:r>
              <w:rPr>
                <w:rFonts w:ascii="Arial" w:cs="Arial" w:eastAsia="Arial" w:hAnsi="Arial"/>
                <w:sz w:val="13"/>
                <w:szCs w:val="13"/>
                <w:color w:val="auto"/>
              </w:rPr>
              <w:t>1,440,000</w:t>
            </w:r>
          </w:p>
        </w:tc>
        <w:tc>
          <w:tcPr>
            <w:tcW w:w="80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37"/>
              <w:spacing w:after="0" w:line="146" w:lineRule="exact"/>
              <w:rPr>
                <w:sz w:val="20"/>
                <w:szCs w:val="20"/>
                <w:color w:val="auto"/>
              </w:rPr>
            </w:pPr>
            <w:r>
              <w:rPr>
                <w:rFonts w:ascii="Arial" w:cs="Arial" w:eastAsia="Arial" w:hAnsi="Arial"/>
                <w:sz w:val="13"/>
                <w:szCs w:val="13"/>
                <w:color w:val="auto"/>
              </w:rPr>
              <w:t>1,440,000</w:t>
            </w:r>
          </w:p>
        </w:tc>
      </w:tr>
      <w:tr>
        <w:trPr>
          <w:trHeight w:val="136"/>
        </w:trPr>
        <w:tc>
          <w:tcPr>
            <w:tcW w:w="53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Bonus payout</w:t>
            </w:r>
          </w:p>
        </w:tc>
        <w:tc>
          <w:tcPr>
            <w:tcW w:w="102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810,000</w:t>
            </w:r>
          </w:p>
        </w:tc>
        <w:tc>
          <w:tcPr>
            <w:tcW w:w="88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810,000</w:t>
            </w:r>
          </w:p>
        </w:tc>
        <w:tc>
          <w:tcPr>
            <w:tcW w:w="760" w:type="dxa"/>
            <w:vAlign w:val="bottom"/>
            <w:tcBorders>
              <w:bottom w:val="single" w:sz="8" w:color="auto"/>
              <w:right w:val="single" w:sz="8" w:color="auto"/>
            </w:tcBorders>
          </w:tcPr>
          <w:p>
            <w:pPr>
              <w:jc w:val="right"/>
              <w:ind w:right="77"/>
              <w:spacing w:after="0" w:line="136" w:lineRule="exact"/>
              <w:rPr>
                <w:sz w:val="20"/>
                <w:szCs w:val="20"/>
                <w:color w:val="auto"/>
              </w:rPr>
            </w:pPr>
            <w:r>
              <w:rPr>
                <w:rFonts w:ascii="Arial" w:cs="Arial" w:eastAsia="Arial" w:hAnsi="Arial"/>
                <w:sz w:val="13"/>
                <w:szCs w:val="13"/>
                <w:color w:val="auto"/>
              </w:rPr>
              <w:t>810,000</w:t>
            </w:r>
          </w:p>
        </w:tc>
        <w:tc>
          <w:tcPr>
            <w:tcW w:w="1180" w:type="dxa"/>
            <w:vAlign w:val="bottom"/>
            <w:tcBorders>
              <w:bottom w:val="single" w:sz="8" w:color="auto"/>
              <w:right w:val="single" w:sz="8" w:color="auto"/>
            </w:tcBorders>
          </w:tcPr>
          <w:p>
            <w:pPr>
              <w:jc w:val="right"/>
              <w:ind w:right="258"/>
              <w:spacing w:after="0" w:line="136" w:lineRule="exact"/>
              <w:rPr>
                <w:sz w:val="20"/>
                <w:szCs w:val="20"/>
                <w:color w:val="auto"/>
              </w:rPr>
            </w:pPr>
            <w:r>
              <w:rPr>
                <w:rFonts w:ascii="Arial" w:cs="Arial" w:eastAsia="Arial" w:hAnsi="Arial"/>
                <w:sz w:val="13"/>
                <w:szCs w:val="13"/>
                <w:color w:val="auto"/>
              </w:rPr>
              <w:t>810,000</w:t>
            </w:r>
          </w:p>
        </w:tc>
        <w:tc>
          <w:tcPr>
            <w:tcW w:w="80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37"/>
              <w:spacing w:after="0" w:line="136" w:lineRule="exact"/>
              <w:rPr>
                <w:sz w:val="20"/>
                <w:szCs w:val="20"/>
                <w:color w:val="auto"/>
              </w:rPr>
            </w:pPr>
            <w:r>
              <w:rPr>
                <w:rFonts w:ascii="Arial" w:cs="Arial" w:eastAsia="Arial" w:hAnsi="Arial"/>
                <w:sz w:val="13"/>
                <w:szCs w:val="13"/>
                <w:color w:val="auto"/>
              </w:rPr>
              <w:t>810,000</w:t>
            </w:r>
          </w:p>
        </w:tc>
      </w:tr>
      <w:tr>
        <w:trPr>
          <w:trHeight w:val="136"/>
        </w:trPr>
        <w:tc>
          <w:tcPr>
            <w:tcW w:w="53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Life insurance</w:t>
            </w:r>
          </w:p>
        </w:tc>
        <w:tc>
          <w:tcPr>
            <w:tcW w:w="102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right w:val="single" w:sz="8" w:color="auto"/>
            </w:tcBorders>
          </w:tcPr>
          <w:p>
            <w:pPr>
              <w:jc w:val="right"/>
              <w:ind w:right="77"/>
              <w:spacing w:after="0" w:line="136"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right w:val="single" w:sz="8" w:color="auto"/>
            </w:tcBorders>
          </w:tcPr>
          <w:p>
            <w:pPr>
              <w:jc w:val="right"/>
              <w:ind w:right="258"/>
              <w:spacing w:after="0" w:line="136" w:lineRule="exact"/>
              <w:rPr>
                <w:sz w:val="20"/>
                <w:szCs w:val="20"/>
                <w:color w:val="auto"/>
              </w:rPr>
            </w:pPr>
            <w:r>
              <w:rPr>
                <w:rFonts w:ascii="Arial" w:cs="Arial" w:eastAsia="Arial" w:hAnsi="Arial"/>
                <w:sz w:val="13"/>
                <w:szCs w:val="13"/>
                <w:color w:val="auto"/>
              </w:rPr>
              <w:t>4,239</w:t>
            </w:r>
          </w:p>
        </w:tc>
        <w:tc>
          <w:tcPr>
            <w:tcW w:w="80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37"/>
              <w:spacing w:after="0" w:line="136" w:lineRule="exact"/>
              <w:rPr>
                <w:sz w:val="20"/>
                <w:szCs w:val="20"/>
                <w:color w:val="auto"/>
              </w:rPr>
            </w:pPr>
            <w:r>
              <w:rPr>
                <w:rFonts w:ascii="Arial" w:cs="Arial" w:eastAsia="Arial" w:hAnsi="Arial"/>
                <w:sz w:val="13"/>
                <w:szCs w:val="13"/>
                <w:color w:val="auto"/>
              </w:rPr>
              <w:t>4,239</w:t>
            </w:r>
          </w:p>
        </w:tc>
      </w:tr>
      <w:tr>
        <w:trPr>
          <w:trHeight w:val="136"/>
        </w:trPr>
        <w:tc>
          <w:tcPr>
            <w:tcW w:w="53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Health insurance</w:t>
            </w:r>
          </w:p>
        </w:tc>
        <w:tc>
          <w:tcPr>
            <w:tcW w:w="102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right w:val="single" w:sz="8" w:color="auto"/>
            </w:tcBorders>
          </w:tcPr>
          <w:p>
            <w:pPr>
              <w:jc w:val="right"/>
              <w:ind w:right="77"/>
              <w:spacing w:after="0" w:line="136"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right w:val="single" w:sz="8" w:color="auto"/>
            </w:tcBorders>
          </w:tcPr>
          <w:p>
            <w:pPr>
              <w:jc w:val="right"/>
              <w:ind w:right="258"/>
              <w:spacing w:after="0" w:line="136" w:lineRule="exact"/>
              <w:rPr>
                <w:sz w:val="20"/>
                <w:szCs w:val="20"/>
                <w:color w:val="auto"/>
              </w:rPr>
            </w:pPr>
            <w:r>
              <w:rPr>
                <w:rFonts w:ascii="Arial" w:cs="Arial" w:eastAsia="Arial" w:hAnsi="Arial"/>
                <w:sz w:val="13"/>
                <w:szCs w:val="13"/>
                <w:color w:val="auto"/>
              </w:rPr>
              <w:t>35,229</w:t>
            </w:r>
          </w:p>
        </w:tc>
        <w:tc>
          <w:tcPr>
            <w:tcW w:w="80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37"/>
              <w:spacing w:after="0" w:line="136" w:lineRule="exact"/>
              <w:rPr>
                <w:sz w:val="20"/>
                <w:szCs w:val="20"/>
                <w:color w:val="auto"/>
              </w:rPr>
            </w:pPr>
            <w:r>
              <w:rPr>
                <w:rFonts w:ascii="Arial" w:cs="Arial" w:eastAsia="Arial" w:hAnsi="Arial"/>
                <w:sz w:val="13"/>
                <w:szCs w:val="13"/>
                <w:color w:val="auto"/>
              </w:rPr>
              <w:t>35,229</w:t>
            </w:r>
          </w:p>
        </w:tc>
      </w:tr>
      <w:tr>
        <w:trPr>
          <w:trHeight w:val="136"/>
        </w:trPr>
        <w:tc>
          <w:tcPr>
            <w:tcW w:w="53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Restricted stock units</w:t>
            </w:r>
          </w:p>
        </w:tc>
        <w:tc>
          <w:tcPr>
            <w:tcW w:w="102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5,804,078</w:t>
            </w:r>
          </w:p>
        </w:tc>
        <w:tc>
          <w:tcPr>
            <w:tcW w:w="88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5,804,078</w:t>
            </w:r>
          </w:p>
        </w:tc>
        <w:tc>
          <w:tcPr>
            <w:tcW w:w="760" w:type="dxa"/>
            <w:vAlign w:val="bottom"/>
            <w:tcBorders>
              <w:bottom w:val="single" w:sz="8" w:color="auto"/>
              <w:right w:val="single" w:sz="8" w:color="auto"/>
            </w:tcBorders>
          </w:tcPr>
          <w:p>
            <w:pPr>
              <w:jc w:val="right"/>
              <w:ind w:right="77"/>
              <w:spacing w:after="0" w:line="136"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right w:val="single" w:sz="8" w:color="auto"/>
            </w:tcBorders>
          </w:tcPr>
          <w:p>
            <w:pPr>
              <w:jc w:val="right"/>
              <w:ind w:right="258"/>
              <w:spacing w:after="0" w:line="136" w:lineRule="exact"/>
              <w:rPr>
                <w:sz w:val="20"/>
                <w:szCs w:val="20"/>
                <w:color w:val="auto"/>
              </w:rPr>
            </w:pPr>
            <w:r>
              <w:rPr>
                <w:rFonts w:ascii="Arial" w:cs="Arial" w:eastAsia="Arial" w:hAnsi="Arial"/>
                <w:sz w:val="13"/>
                <w:szCs w:val="13"/>
                <w:color w:val="auto"/>
              </w:rPr>
              <w:t>5,303,429</w:t>
            </w:r>
          </w:p>
        </w:tc>
        <w:tc>
          <w:tcPr>
            <w:tcW w:w="80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2,433,164</w:t>
            </w:r>
          </w:p>
        </w:tc>
        <w:tc>
          <w:tcPr>
            <w:tcW w:w="1200" w:type="dxa"/>
            <w:vAlign w:val="bottom"/>
            <w:tcBorders>
              <w:bottom w:val="single" w:sz="8" w:color="auto"/>
            </w:tcBorders>
          </w:tcPr>
          <w:p>
            <w:pPr>
              <w:jc w:val="right"/>
              <w:ind w:right="137"/>
              <w:spacing w:after="0" w:line="136" w:lineRule="exact"/>
              <w:rPr>
                <w:sz w:val="20"/>
                <w:szCs w:val="20"/>
                <w:color w:val="auto"/>
              </w:rPr>
            </w:pPr>
            <w:r>
              <w:rPr>
                <w:rFonts w:ascii="Arial" w:cs="Arial" w:eastAsia="Arial" w:hAnsi="Arial"/>
                <w:sz w:val="13"/>
                <w:szCs w:val="13"/>
                <w:color w:val="auto"/>
              </w:rPr>
              <w:t>5,804,078</w:t>
            </w:r>
          </w:p>
        </w:tc>
      </w:tr>
      <w:tr>
        <w:trPr>
          <w:trHeight w:val="145"/>
        </w:trPr>
        <w:tc>
          <w:tcPr>
            <w:tcW w:w="530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color w:val="auto"/>
              </w:rPr>
              <w:t>Performance restricted stock units</w:t>
            </w:r>
          </w:p>
        </w:tc>
        <w:tc>
          <w:tcPr>
            <w:tcW w:w="1020" w:type="dxa"/>
            <w:vAlign w:val="bottom"/>
            <w:tcBorders>
              <w:bottom w:val="single" w:sz="8" w:color="479EFF"/>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2,851,248</w:t>
            </w:r>
          </w:p>
        </w:tc>
        <w:tc>
          <w:tcPr>
            <w:tcW w:w="880" w:type="dxa"/>
            <w:vAlign w:val="bottom"/>
            <w:tcBorders>
              <w:bottom w:val="single" w:sz="8" w:color="479EFF"/>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6,843,392</w:t>
            </w:r>
          </w:p>
        </w:tc>
        <w:tc>
          <w:tcPr>
            <w:tcW w:w="760" w:type="dxa"/>
            <w:vAlign w:val="bottom"/>
            <w:tcBorders>
              <w:bottom w:val="single" w:sz="8" w:color="479EFF"/>
              <w:right w:val="single" w:sz="8" w:color="auto"/>
            </w:tcBorders>
          </w:tcPr>
          <w:p>
            <w:pPr>
              <w:jc w:val="right"/>
              <w:ind w:right="77"/>
              <w:spacing w:after="0" w:line="136"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479EFF"/>
              <w:right w:val="single" w:sz="8" w:color="auto"/>
            </w:tcBorders>
          </w:tcPr>
          <w:p>
            <w:pPr>
              <w:jc w:val="right"/>
              <w:ind w:right="138"/>
              <w:spacing w:after="0" w:line="136" w:lineRule="exact"/>
              <w:rPr>
                <w:sz w:val="20"/>
                <w:szCs w:val="20"/>
                <w:color w:val="auto"/>
              </w:rPr>
            </w:pPr>
            <w:r>
              <w:rPr>
                <w:rFonts w:ascii="Arial" w:cs="Arial" w:eastAsia="Arial" w:hAnsi="Arial"/>
                <w:sz w:val="10"/>
                <w:szCs w:val="10"/>
                <w:color w:val="auto"/>
              </w:rPr>
              <w:t>6,092,754</w:t>
            </w:r>
            <w:r>
              <w:rPr>
                <w:rFonts w:ascii="Arial" w:cs="Arial" w:eastAsia="Arial" w:hAnsi="Arial"/>
                <w:sz w:val="15"/>
                <w:szCs w:val="15"/>
                <w:color w:val="auto"/>
                <w:vertAlign w:val="superscript"/>
              </w:rPr>
              <w:t>(1)</w:t>
            </w:r>
          </w:p>
        </w:tc>
        <w:tc>
          <w:tcPr>
            <w:tcW w:w="800" w:type="dxa"/>
            <w:vAlign w:val="bottom"/>
            <w:tcBorders>
              <w:bottom w:val="single" w:sz="8" w:color="479EFF"/>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5,632,965</w:t>
            </w:r>
          </w:p>
        </w:tc>
        <w:tc>
          <w:tcPr>
            <w:tcW w:w="1200" w:type="dxa"/>
            <w:vAlign w:val="bottom"/>
            <w:tcBorders>
              <w:bottom w:val="single" w:sz="8" w:color="479EFF"/>
            </w:tcBorders>
          </w:tcPr>
          <w:p>
            <w:pPr>
              <w:jc w:val="right"/>
              <w:ind w:right="137"/>
              <w:spacing w:after="0" w:line="136" w:lineRule="exact"/>
              <w:rPr>
                <w:sz w:val="20"/>
                <w:szCs w:val="20"/>
                <w:color w:val="auto"/>
              </w:rPr>
            </w:pPr>
            <w:r>
              <w:rPr>
                <w:rFonts w:ascii="Arial" w:cs="Arial" w:eastAsia="Arial" w:hAnsi="Arial"/>
                <w:sz w:val="13"/>
                <w:szCs w:val="13"/>
                <w:color w:val="auto"/>
              </w:rPr>
              <w:t>6,843,392</w:t>
            </w:r>
          </w:p>
        </w:tc>
      </w:tr>
    </w:tbl>
    <w:p>
      <w:pPr>
        <w:spacing w:after="0" w:line="159" w:lineRule="exact"/>
        <w:rPr>
          <w:sz w:val="20"/>
          <w:szCs w:val="20"/>
          <w:color w:val="auto"/>
        </w:rPr>
      </w:pPr>
    </w:p>
    <w:p>
      <w:pPr>
        <w:ind w:left="2" w:right="440" w:hanging="2"/>
        <w:spacing w:after="0" w:line="262" w:lineRule="auto"/>
        <w:tabs>
          <w:tab w:leader="none" w:pos="158" w:val="left"/>
        </w:tabs>
        <w:numPr>
          <w:ilvl w:val="0"/>
          <w:numId w:val="86"/>
        </w:numPr>
        <w:rPr>
          <w:rFonts w:ascii="Arial" w:cs="Arial" w:eastAsia="Arial" w:hAnsi="Arial"/>
          <w:sz w:val="10"/>
          <w:szCs w:val="10"/>
          <w:color w:val="auto"/>
        </w:rPr>
      </w:pPr>
      <w:r>
        <w:rPr>
          <w:rFonts w:ascii="Arial" w:cs="Arial" w:eastAsia="Arial" w:hAnsi="Arial"/>
          <w:sz w:val="10"/>
          <w:szCs w:val="10"/>
          <w:color w:val="auto"/>
        </w:rPr>
        <w:t>As described above, upon his termination for good reason or without cause, Mr. Kapoor is treated as having continued his employment for two additional years for purposes of his annual equity awards. The information in this table was calculated assuming target performance over the additional two year-period, however, the actual payment would depend upon the Company's actual performance following Mr. Kapoor's termination.</w:t>
      </w:r>
    </w:p>
    <w:p>
      <w:pPr>
        <w:spacing w:after="0" w:line="121"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FF4000"/>
        </w:rPr>
        <w:t>Maurizio Nicolelli</w:t>
      </w:r>
    </w:p>
    <w:p>
      <w:pPr>
        <w:spacing w:after="0" w:line="168" w:lineRule="exact"/>
        <w:rPr>
          <w:sz w:val="20"/>
          <w:szCs w:val="20"/>
          <w:color w:val="auto"/>
        </w:rPr>
      </w:pPr>
    </w:p>
    <w:p>
      <w:pPr>
        <w:ind w:left="2" w:right="160"/>
        <w:spacing w:after="0" w:line="237" w:lineRule="auto"/>
        <w:rPr>
          <w:sz w:val="20"/>
          <w:szCs w:val="20"/>
          <w:color w:val="auto"/>
        </w:rPr>
      </w:pPr>
      <w:r>
        <w:rPr>
          <w:rFonts w:ascii="Arial" w:cs="Arial" w:eastAsia="Arial" w:hAnsi="Arial"/>
          <w:sz w:val="13"/>
          <w:szCs w:val="13"/>
          <w:color w:val="auto"/>
        </w:rPr>
        <w:t>Either Mr. Nicolelli or we may terminate Mr. Nicolelli's employment at any time with 30 days' notice (or 90 days' notice if termination is by Mr. Nicolelli). If Mr. Nicolelli is terminated by us without "cause" (other than due to death or disability), or if Mr. Nicolelli resigns for "good reason", Mr. Nicolelli will receive a cash severance payment equal to twelve months' of his then-current base salary, with 25% payable on the first payroll date at least 10 days following termination and the remainder payable in nine equal monthly installments.</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3"/>
          <w:szCs w:val="13"/>
          <w:color w:val="auto"/>
        </w:rPr>
        <w:t>On a "change in control" (as defined in the 2018 Plan) or death, Mr. Nicolelli's outstanding equity awards will vest as described below:</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 xml:space="preserve">Time-Vested RSUs: </w:t>
      </w:r>
      <w:r>
        <w:rPr>
          <w:rFonts w:ascii="Arial" w:cs="Arial" w:eastAsia="Arial" w:hAnsi="Arial"/>
          <w:sz w:val="13"/>
          <w:szCs w:val="13"/>
          <w:color w:val="auto"/>
        </w:rPr>
        <w:t>If a change in control occurs prior to the end of the four-year vesting period, Mr. Nicolelli's Time-Vested RSUs will be advanced by one year. In addition, all of Mr. Nicolelli's</w:t>
      </w:r>
      <w:r>
        <w:rPr>
          <w:rFonts w:ascii="Arial" w:cs="Arial" w:eastAsia="Arial" w:hAnsi="Arial"/>
          <w:sz w:val="13"/>
          <w:szCs w:val="13"/>
          <w:b w:val="1"/>
          <w:bCs w:val="1"/>
          <w:color w:val="auto"/>
        </w:rPr>
        <w:t xml:space="preserve"> </w:t>
      </w:r>
      <w:r>
        <w:rPr>
          <w:rFonts w:ascii="Arial" w:cs="Arial" w:eastAsia="Arial" w:hAnsi="Arial"/>
          <w:sz w:val="13"/>
          <w:szCs w:val="13"/>
          <w:color w:val="auto"/>
        </w:rPr>
        <w:t>outstanding Time-Vested RSUs will become fully vested if, following or in specific contemplation of a change in control, he is terminated without cause or, following a change in control, he terminates his employment for good reason. If Mr. Nicolelli dies before the end of the four-year vesting period, all of Mr. Nicolelli's outstanding Time-Vested RSUs will become fully vested. For awards granted in 2020, if Mr. Nicolelli retires with at least 10 years of service and the applicable award has been outstanding for at least 6 months, Mr. Nicolelli will become vested in all unvested RSUs that would have vested within the next 12 months absent his retirement. If Mr. Nicolelli retires with at least 5 years of service but less than 10, the number of vested Time-Vested PRSUs will be calculated as described in the preceding sentence and then reduced by 50%.</w:t>
      </w:r>
    </w:p>
    <w:p>
      <w:pPr>
        <w:spacing w:after="0" w:line="134" w:lineRule="exact"/>
        <w:rPr>
          <w:sz w:val="20"/>
          <w:szCs w:val="20"/>
          <w:color w:val="auto"/>
        </w:rPr>
      </w:pPr>
    </w:p>
    <w:p>
      <w:pPr>
        <w:jc w:val="both"/>
        <w:ind w:left="2" w:right="120"/>
        <w:spacing w:after="0" w:line="249" w:lineRule="auto"/>
        <w:rPr>
          <w:sz w:val="20"/>
          <w:szCs w:val="20"/>
          <w:color w:val="auto"/>
        </w:rPr>
      </w:pPr>
      <w:r>
        <w:rPr>
          <w:rFonts w:ascii="Arial" w:cs="Arial" w:eastAsia="Arial" w:hAnsi="Arial"/>
          <w:sz w:val="13"/>
          <w:szCs w:val="13"/>
          <w:b w:val="1"/>
          <w:bCs w:val="1"/>
          <w:color w:val="auto"/>
        </w:rPr>
        <w:t xml:space="preserve">Revenue-Linked PRSUs: </w:t>
      </w:r>
      <w:r>
        <w:rPr>
          <w:rFonts w:ascii="Arial" w:cs="Arial" w:eastAsia="Arial" w:hAnsi="Arial"/>
          <w:sz w:val="13"/>
          <w:szCs w:val="13"/>
          <w:color w:val="auto"/>
        </w:rPr>
        <w:t>If a change in control occurs prior to the end of the performance period, 100% of Mr. Nicolelli's Revenue-Linked PRSUs will be deemed earned, will be subject to a new three</w:t>
      </w:r>
      <w:r>
        <w:rPr>
          <w:rFonts w:ascii="Arial" w:cs="Arial" w:eastAsia="Arial" w:hAnsi="Arial"/>
          <w:sz w:val="13"/>
          <w:szCs w:val="13"/>
          <w:b w:val="1"/>
          <w:bCs w:val="1"/>
          <w:color w:val="auto"/>
        </w:rPr>
        <w:t xml:space="preserve"> </w:t>
      </w:r>
      <w:r>
        <w:rPr>
          <w:rFonts w:ascii="Arial" w:cs="Arial" w:eastAsia="Arial" w:hAnsi="Arial"/>
          <w:sz w:val="13"/>
          <w:szCs w:val="13"/>
          <w:color w:val="auto"/>
        </w:rPr>
        <w:t>year installment vesting schedule and will be advanced by one year under such schedule. In addition, all of Mr. Nicolelli's outstanding Revenue-Linked PRSUs will become fully vested if, following or in specific contemplation of a change in control, he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1408430" cy="3333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2"/>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241300</wp:posOffset>
            </wp:positionV>
            <wp:extent cx="7177405" cy="190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2"/>
          </w:cols>
          <w:pgMar w:left="298" w:top="142" w:right="319" w:bottom="1440" w:gutter="0" w:footer="0" w:header="0"/>
        </w:sectPr>
      </w:pPr>
    </w:p>
    <w:bookmarkStart w:id="97" w:name="page98"/>
    <w:bookmarkEnd w:id="97"/>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842"/>
        <w:spacing w:after="0"/>
        <w:rPr>
          <w:sz w:val="20"/>
          <w:szCs w:val="20"/>
          <w:color w:val="auto"/>
        </w:rPr>
      </w:pPr>
      <w:r>
        <w:rPr>
          <w:rFonts w:ascii="Arial" w:cs="Arial" w:eastAsia="Arial" w:hAnsi="Arial"/>
          <w:sz w:val="10"/>
          <w:szCs w:val="10"/>
          <w:b w:val="1"/>
          <w:bCs w:val="1"/>
          <w:color w:val="CCD9D9"/>
        </w:rPr>
        <w:t>EXECUTIVE COMPENSATION</w:t>
      </w:r>
    </w:p>
    <w:p>
      <w:pPr>
        <w:spacing w:after="0" w:line="168" w:lineRule="exact"/>
        <w:rPr>
          <w:sz w:val="20"/>
          <w:szCs w:val="20"/>
          <w:color w:val="auto"/>
        </w:rPr>
      </w:pPr>
    </w:p>
    <w:p>
      <w:pPr>
        <w:ind w:left="2" w:right="60"/>
        <w:spacing w:after="0" w:line="258" w:lineRule="auto"/>
        <w:rPr>
          <w:sz w:val="20"/>
          <w:szCs w:val="20"/>
          <w:color w:val="auto"/>
        </w:rPr>
      </w:pPr>
      <w:r>
        <w:rPr>
          <w:rFonts w:ascii="Arial" w:cs="Arial" w:eastAsia="Arial" w:hAnsi="Arial"/>
          <w:sz w:val="12"/>
          <w:szCs w:val="12"/>
          <w:color w:val="auto"/>
        </w:rPr>
        <w:t>terminated without cause or, following a change in control, he (i) terminates his employment for good reason or, (ii) dies. If Mr. Nicolelli dies prior to the end of the performance period and no change in control has occurred, Mr. Nicolelli will become vested in a portion of the outstanding Revenue-Linked PRSUs equal to (x) the number of completed full months during the 3 year performance period up to the date of Mr. Nicolelli's death divided by (y) 36 multiplied by (z) 100% of Mr. Nicolelli's Revenue-Linked PRSUs. For awards granted in 2020, if Mr. Nicolelli retires with at least 10 years of service and the award has been outstanding for at least 6 months, Mr. Nicolelli will become vested in a portion of the outstanding Revenue-Linked PRSUs equal to (x) the number of years of service completed by Mr. Nicolelli from the grant date (rounding up to the closest whole number) divided by (y) 3 multiplied by (z) the number of Revenue-Linked PRSUs earned based on actual performance. If Mr. Nicolelli retires with at least 5 years of service but less than 10, the number of vested Revenue-Linked PRSUs will be calculated as described in the preceding sentence and then reduced by 50%.</w:t>
      </w:r>
    </w:p>
    <w:p>
      <w:pPr>
        <w:spacing w:after="0" w:line="125" w:lineRule="exact"/>
        <w:rPr>
          <w:sz w:val="20"/>
          <w:szCs w:val="20"/>
          <w:color w:val="auto"/>
        </w:rPr>
      </w:pPr>
    </w:p>
    <w:p>
      <w:pPr>
        <w:ind w:left="2" w:right="40"/>
        <w:spacing w:after="0" w:line="259" w:lineRule="auto"/>
        <w:rPr>
          <w:sz w:val="20"/>
          <w:szCs w:val="20"/>
          <w:color w:val="auto"/>
        </w:rPr>
      </w:pPr>
      <w:r>
        <w:rPr>
          <w:rFonts w:ascii="Arial" w:cs="Arial" w:eastAsia="Arial" w:hAnsi="Arial"/>
          <w:sz w:val="12"/>
          <w:szCs w:val="12"/>
          <w:b w:val="1"/>
          <w:bCs w:val="1"/>
          <w:color w:val="auto"/>
        </w:rPr>
        <w:t xml:space="preserve">Relative TSR-Linked PRSUs: </w:t>
      </w:r>
      <w:r>
        <w:rPr>
          <w:rFonts w:ascii="Arial" w:cs="Arial" w:eastAsia="Arial" w:hAnsi="Arial"/>
          <w:sz w:val="12"/>
          <w:szCs w:val="12"/>
          <w:color w:val="auto"/>
        </w:rPr>
        <w:t>If a change in control occurs on or prior to the first anniversary of the grant date, 100% of Mr. Nicolelli's Relative TSR-Linked PRSUs will be deemed earned. If a change in</w:t>
      </w:r>
      <w:r>
        <w:rPr>
          <w:rFonts w:ascii="Arial" w:cs="Arial" w:eastAsia="Arial" w:hAnsi="Arial"/>
          <w:sz w:val="12"/>
          <w:szCs w:val="12"/>
          <w:b w:val="1"/>
          <w:bCs w:val="1"/>
          <w:color w:val="auto"/>
        </w:rPr>
        <w:t xml:space="preserve"> </w:t>
      </w:r>
      <w:r>
        <w:rPr>
          <w:rFonts w:ascii="Arial" w:cs="Arial" w:eastAsia="Arial" w:hAnsi="Arial"/>
          <w:sz w:val="12"/>
          <w:szCs w:val="12"/>
          <w:color w:val="auto"/>
        </w:rPr>
        <w:t>control occurs after the first anniversary of the grant date, the performance period will be deemed to end on the date of the change in control and the Compensation Committee will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Nicolelli's outstanding, earned TSR-Linked PRSUs will become fully vested if, following or in specific contemplation of a change in control, he is terminated without cause or, following a change in control, he (i) voluntarily terminates his employment for good reason or,</w:t>
      </w:r>
    </w:p>
    <w:p>
      <w:pPr>
        <w:spacing w:after="0" w:line="1" w:lineRule="exact"/>
        <w:rPr>
          <w:sz w:val="20"/>
          <w:szCs w:val="20"/>
          <w:color w:val="auto"/>
        </w:rPr>
      </w:pPr>
    </w:p>
    <w:p>
      <w:pPr>
        <w:ind w:left="2" w:right="60" w:hanging="2"/>
        <w:spacing w:after="0" w:line="235" w:lineRule="auto"/>
        <w:tabs>
          <w:tab w:leader="none" w:pos="178" w:val="left"/>
        </w:tabs>
        <w:numPr>
          <w:ilvl w:val="0"/>
          <w:numId w:val="87"/>
        </w:numPr>
        <w:rPr>
          <w:rFonts w:ascii="Arial" w:cs="Arial" w:eastAsia="Arial" w:hAnsi="Arial"/>
          <w:sz w:val="13"/>
          <w:szCs w:val="13"/>
          <w:color w:val="auto"/>
        </w:rPr>
      </w:pPr>
      <w:r>
        <w:rPr>
          <w:rFonts w:ascii="Arial" w:cs="Arial" w:eastAsia="Arial" w:hAnsi="Arial"/>
          <w:sz w:val="13"/>
          <w:szCs w:val="13"/>
          <w:color w:val="auto"/>
        </w:rPr>
        <w:t>dies. If Mr. Nicolelli dies prior to the end of the performance period and no change in control has occurred, Mr. Nicolelli will become vested in a portion of the outstanding Relative TSR-Linked PRSUs equal to (x) the number of completed full months during the 3 year performance period up to the date of Mr. Nicolelli's death divided by (y) 36 multiplied by (z) 100% of Mr. Nicolelli's Relative TSR-Linked PRSUs. For awards granted in 2020, if Mr. Nicolelli retires with at least 10 years of service and the award has been outstanding for at least 6 months, Mr. Nicolelli will become vested in a portion of the outstanding Relative TSR-Linked PRSUs equal to (x) the number of years of service completed by Mr. Nicolelli from the grant date (rounding up to the closest whole number) divided by (y) 3 multiplied by (z) the number of Relative TSR-Linked PRSUs earned based on actual performance. If Mr. Nicolelli retires with at least 5 years of service but less than 10, the number of vested Relative TSR-Linked PRSUs will be calculated as described in the preceding sentence and then reduced by 50%.</w:t>
      </w:r>
    </w:p>
    <w:p>
      <w:pPr>
        <w:spacing w:after="0" w:line="153" w:lineRule="exact"/>
        <w:rPr>
          <w:sz w:val="20"/>
          <w:szCs w:val="20"/>
          <w:color w:val="auto"/>
        </w:rPr>
      </w:pPr>
    </w:p>
    <w:p>
      <w:pPr>
        <w:ind w:left="2" w:right="20"/>
        <w:spacing w:after="0" w:line="239" w:lineRule="auto"/>
        <w:rPr>
          <w:sz w:val="20"/>
          <w:szCs w:val="20"/>
          <w:color w:val="auto"/>
        </w:rPr>
      </w:pPr>
      <w:r>
        <w:rPr>
          <w:rFonts w:ascii="Arial" w:cs="Arial" w:eastAsia="Arial" w:hAnsi="Arial"/>
          <w:sz w:val="13"/>
          <w:szCs w:val="13"/>
          <w:color w:val="auto"/>
        </w:rPr>
        <w:t>Mr. Nicolelli's severance payments and termination-related equity acceleration are subject to his execution of a waiver and release of claims against us. Mr. Nicolelli is subject to confidentiality restrictions at all times, as well as noncompetition and nonsolicitation restrictions for two years following termination of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5762625</wp:posOffset>
            </wp:positionH>
            <wp:positionV relativeFrom="paragraph">
              <wp:posOffset>192405</wp:posOffset>
            </wp:positionV>
            <wp:extent cx="1408430" cy="3333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862"/>
        <w:spacing w:after="0"/>
        <w:rPr>
          <w:sz w:val="20"/>
          <w:szCs w:val="20"/>
          <w:color w:val="auto"/>
        </w:rPr>
      </w:pPr>
      <w:r>
        <w:rPr>
          <w:rFonts w:ascii="Arial" w:cs="Arial" w:eastAsia="Arial" w:hAnsi="Arial"/>
          <w:sz w:val="13"/>
          <w:szCs w:val="13"/>
          <w:color w:val="FFFFFE"/>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177405" cy="19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2"/>
          </w:cols>
          <w:pgMar w:left="298" w:top="142" w:right="299" w:bottom="1440" w:gutter="0" w:footer="0" w:header="0"/>
        </w:sectPr>
      </w:pPr>
    </w:p>
    <w:bookmarkStart w:id="98" w:name="page99"/>
    <w:bookmarkEnd w:id="9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20" w:type="dxa"/>
            <w:vAlign w:val="bottom"/>
          </w:tcPr>
          <w:p>
            <w:pPr>
              <w:spacing w:after="0"/>
              <w:rPr>
                <w:sz w:val="20"/>
                <w:szCs w:val="20"/>
                <w:color w:val="auto"/>
              </w:rPr>
            </w:pPr>
            <w:r>
              <w:rPr>
                <w:rFonts w:ascii="Arial" w:cs="Arial" w:eastAsia="Arial" w:hAnsi="Arial"/>
                <w:sz w:val="10"/>
                <w:szCs w:val="10"/>
                <w:b w:val="1"/>
                <w:bCs w:val="1"/>
                <w:color w:val="CCD9D9"/>
              </w:rPr>
              <w:t>EXECUTIVE COMPENSATION</w:t>
            </w: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300"/>
        </w:trPr>
        <w:tc>
          <w:tcPr>
            <w:tcW w:w="5820" w:type="dxa"/>
            <w:vAlign w:val="bottom"/>
          </w:tcPr>
          <w:p>
            <w:pPr>
              <w:spacing w:after="0"/>
              <w:rPr>
                <w:sz w:val="20"/>
                <w:szCs w:val="20"/>
                <w:color w:val="auto"/>
              </w:rPr>
            </w:pPr>
            <w:r>
              <w:rPr>
                <w:rFonts w:ascii="Arial" w:cs="Arial" w:eastAsia="Arial" w:hAnsi="Arial"/>
                <w:sz w:val="13"/>
                <w:szCs w:val="13"/>
                <w:b w:val="1"/>
                <w:bCs w:val="1"/>
                <w:color w:val="479EFF"/>
              </w:rPr>
              <w:t>Indicative Payouts for Maurizio Nicolelli</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9"/>
        </w:trPr>
        <w:tc>
          <w:tcPr>
            <w:tcW w:w="5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jc w:val="center"/>
              <w:ind w:left="57"/>
              <w:spacing w:after="0"/>
              <w:rPr>
                <w:sz w:val="20"/>
                <w:szCs w:val="20"/>
                <w:color w:val="auto"/>
              </w:rPr>
            </w:pPr>
            <w:r>
              <w:rPr>
                <w:rFonts w:ascii="Arial" w:cs="Arial" w:eastAsia="Arial" w:hAnsi="Arial"/>
                <w:sz w:val="13"/>
                <w:szCs w:val="13"/>
                <w:b w:val="1"/>
                <w:bCs w:val="1"/>
                <w:color w:val="479EFF"/>
                <w:w w:val="96"/>
              </w:rPr>
              <w:t>Termination</w:t>
            </w:r>
          </w:p>
        </w:tc>
      </w:tr>
      <w:tr>
        <w:trPr>
          <w:trHeight w:val="146"/>
        </w:trPr>
        <w:tc>
          <w:tcPr>
            <w:tcW w:w="5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6"/>
              </w:rPr>
              <w:t>Without Cause or</w:t>
            </w:r>
          </w:p>
        </w:tc>
      </w:tr>
      <w:tr>
        <w:trPr>
          <w:trHeight w:val="146"/>
        </w:trPr>
        <w:tc>
          <w:tcPr>
            <w:tcW w:w="5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77"/>
              <w:spacing w:after="0" w:line="146" w:lineRule="exact"/>
              <w:rPr>
                <w:sz w:val="20"/>
                <w:szCs w:val="20"/>
                <w:color w:val="auto"/>
              </w:rPr>
            </w:pPr>
            <w:r>
              <w:rPr>
                <w:rFonts w:ascii="Arial" w:cs="Arial" w:eastAsia="Arial" w:hAnsi="Arial"/>
                <w:sz w:val="13"/>
                <w:szCs w:val="13"/>
                <w:b w:val="1"/>
                <w:bCs w:val="1"/>
                <w:color w:val="479EFF"/>
                <w:w w:val="96"/>
              </w:rPr>
              <w:t>for Good Reason</w:t>
            </w:r>
          </w:p>
        </w:tc>
      </w:tr>
      <w:tr>
        <w:trPr>
          <w:trHeight w:val="146"/>
        </w:trPr>
        <w:tc>
          <w:tcPr>
            <w:tcW w:w="5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6"/>
              </w:rPr>
              <w:t>Following Change</w:t>
            </w:r>
          </w:p>
        </w:tc>
      </w:tr>
      <w:tr>
        <w:trPr>
          <w:trHeight w:val="146"/>
        </w:trPr>
        <w:tc>
          <w:tcPr>
            <w:tcW w:w="5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7"/>
              </w:rPr>
              <w:t>in Control or</w:t>
            </w:r>
          </w:p>
        </w:tc>
      </w:tr>
      <w:tr>
        <w:trPr>
          <w:trHeight w:val="146"/>
        </w:trPr>
        <w:tc>
          <w:tcPr>
            <w:tcW w:w="5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6"/>
              </w:rPr>
              <w:t>Termination</w:t>
            </w:r>
          </w:p>
        </w:tc>
      </w:tr>
      <w:tr>
        <w:trPr>
          <w:trHeight w:val="146"/>
        </w:trPr>
        <w:tc>
          <w:tcPr>
            <w:tcW w:w="5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6"/>
              </w:rPr>
              <w:t>Without Cause</w:t>
            </w:r>
          </w:p>
        </w:tc>
      </w:tr>
      <w:tr>
        <w:trPr>
          <w:trHeight w:val="146"/>
        </w:trPr>
        <w:tc>
          <w:tcPr>
            <w:tcW w:w="582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5"/>
              </w:rPr>
              <w:t>Death Prior to</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Death After</w:t>
            </w:r>
          </w:p>
        </w:tc>
        <w:tc>
          <w:tcPr>
            <w:tcW w:w="12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Termination for</w:t>
            </w: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8"/>
              </w:rPr>
              <w:t>in Specific</w:t>
            </w:r>
          </w:p>
        </w:tc>
      </w:tr>
      <w:tr>
        <w:trPr>
          <w:trHeight w:val="146"/>
        </w:trPr>
        <w:tc>
          <w:tcPr>
            <w:tcW w:w="582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9"/>
              </w:rPr>
              <w:t>a Change</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5"/>
              </w:rPr>
              <w:t>a Change</w:t>
            </w:r>
          </w:p>
        </w:tc>
        <w:tc>
          <w:tcPr>
            <w:tcW w:w="12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8"/>
              </w:rPr>
              <w:t>Good Reason or</w:t>
            </w: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Change</w:t>
            </w: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7"/>
              </w:rPr>
              <w:t>Contemplation of</w:t>
            </w:r>
          </w:p>
        </w:tc>
      </w:tr>
      <w:tr>
        <w:trPr>
          <w:trHeight w:val="146"/>
        </w:trPr>
        <w:tc>
          <w:tcPr>
            <w:tcW w:w="582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12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Without Cause</w:t>
            </w: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1240" w:type="dxa"/>
            <w:vAlign w:val="bottom"/>
          </w:tcPr>
          <w:p>
            <w:pPr>
              <w:jc w:val="center"/>
              <w:ind w:left="77"/>
              <w:spacing w:after="0" w:line="146" w:lineRule="exact"/>
              <w:rPr>
                <w:sz w:val="20"/>
                <w:szCs w:val="20"/>
                <w:color w:val="auto"/>
              </w:rPr>
            </w:pPr>
            <w:r>
              <w:rPr>
                <w:rFonts w:ascii="Arial" w:cs="Arial" w:eastAsia="Arial" w:hAnsi="Arial"/>
                <w:sz w:val="13"/>
                <w:szCs w:val="13"/>
                <w:b w:val="1"/>
                <w:bCs w:val="1"/>
                <w:color w:val="479EFF"/>
                <w:w w:val="97"/>
              </w:rPr>
              <w:t>Change in Control</w:t>
            </w:r>
          </w:p>
        </w:tc>
      </w:tr>
      <w:tr>
        <w:trPr>
          <w:trHeight w:val="169"/>
        </w:trPr>
        <w:tc>
          <w:tcPr>
            <w:tcW w:w="5820" w:type="dxa"/>
            <w:vAlign w:val="bottom"/>
            <w:tcBorders>
              <w:bottom w:val="single" w:sz="8" w:color="479EFF"/>
            </w:tcBorders>
          </w:tcPr>
          <w:p>
            <w:pPr>
              <w:spacing w:after="0"/>
              <w:rPr>
                <w:sz w:val="20"/>
                <w:szCs w:val="20"/>
                <w:color w:val="auto"/>
              </w:rPr>
            </w:pPr>
            <w:r>
              <w:rPr>
                <w:rFonts w:ascii="Arial" w:cs="Arial" w:eastAsia="Arial" w:hAnsi="Arial"/>
                <w:sz w:val="13"/>
                <w:szCs w:val="13"/>
                <w:b w:val="1"/>
                <w:bCs w:val="1"/>
                <w:color w:val="479EFF"/>
              </w:rPr>
              <w:t>Payments upon Termination</w:t>
            </w:r>
          </w:p>
        </w:tc>
        <w:tc>
          <w:tcPr>
            <w:tcW w:w="108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w w:val="87"/>
              </w:rPr>
              <w:t>($)</w:t>
            </w:r>
          </w:p>
        </w:tc>
        <w:tc>
          <w:tcPr>
            <w:tcW w:w="92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122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86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1240" w:type="dxa"/>
            <w:vAlign w:val="bottom"/>
            <w:tcBorders>
              <w:bottom w:val="single" w:sz="8" w:color="479EFF"/>
            </w:tcBorders>
          </w:tcPr>
          <w:p>
            <w:pPr>
              <w:jc w:val="center"/>
              <w:ind w:left="57"/>
              <w:spacing w:after="0"/>
              <w:rPr>
                <w:sz w:val="20"/>
                <w:szCs w:val="20"/>
                <w:color w:val="auto"/>
              </w:rPr>
            </w:pPr>
            <w:r>
              <w:rPr>
                <w:rFonts w:ascii="Arial" w:cs="Arial" w:eastAsia="Arial" w:hAnsi="Arial"/>
                <w:sz w:val="13"/>
                <w:szCs w:val="13"/>
                <w:b w:val="1"/>
                <w:bCs w:val="1"/>
                <w:color w:val="479EFF"/>
              </w:rPr>
              <w:t>($)</w:t>
            </w:r>
          </w:p>
        </w:tc>
      </w:tr>
      <w:tr>
        <w:trPr>
          <w:trHeight w:val="146"/>
        </w:trPr>
        <w:tc>
          <w:tcPr>
            <w:tcW w:w="582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Base salary payout</w:t>
            </w:r>
          </w:p>
        </w:tc>
        <w:tc>
          <w:tcPr>
            <w:tcW w:w="1080" w:type="dxa"/>
            <w:vAlign w:val="bottom"/>
            <w:tcBorders>
              <w:bottom w:val="single" w:sz="8" w:color="auto"/>
              <w:right w:val="single" w:sz="8" w:color="auto"/>
            </w:tcBorders>
          </w:tcPr>
          <w:p>
            <w:pPr>
              <w:jc w:val="right"/>
              <w:ind w:right="137"/>
              <w:spacing w:after="0" w:line="146"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right w:val="single" w:sz="8" w:color="auto"/>
            </w:tcBorders>
          </w:tcPr>
          <w:p>
            <w:pPr>
              <w:jc w:val="right"/>
              <w:ind w:right="117"/>
              <w:spacing w:after="0" w:line="146"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right w:val="single" w:sz="8" w:color="auto"/>
            </w:tcBorders>
          </w:tcPr>
          <w:p>
            <w:pPr>
              <w:jc w:val="right"/>
              <w:ind w:right="297"/>
              <w:spacing w:after="0" w:line="146" w:lineRule="exact"/>
              <w:rPr>
                <w:sz w:val="20"/>
                <w:szCs w:val="20"/>
                <w:color w:val="auto"/>
              </w:rPr>
            </w:pPr>
            <w:r>
              <w:rPr>
                <w:rFonts w:ascii="Arial" w:cs="Arial" w:eastAsia="Arial" w:hAnsi="Arial"/>
                <w:sz w:val="13"/>
                <w:szCs w:val="13"/>
                <w:color w:val="auto"/>
              </w:rPr>
              <w:t>475,000</w:t>
            </w:r>
          </w:p>
        </w:tc>
        <w:tc>
          <w:tcPr>
            <w:tcW w:w="860" w:type="dxa"/>
            <w:vAlign w:val="bottom"/>
            <w:tcBorders>
              <w:bottom w:val="single" w:sz="8" w:color="auto"/>
              <w:right w:val="single" w:sz="8" w:color="auto"/>
            </w:tcBorders>
          </w:tcPr>
          <w:p>
            <w:pPr>
              <w:jc w:val="right"/>
              <w:ind w:right="117"/>
              <w:spacing w:after="0" w:line="146" w:lineRule="exact"/>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center"/>
              <w:ind w:left="77"/>
              <w:spacing w:after="0" w:line="146" w:lineRule="exact"/>
              <w:rPr>
                <w:sz w:val="20"/>
                <w:szCs w:val="20"/>
                <w:color w:val="auto"/>
              </w:rPr>
            </w:pPr>
            <w:r>
              <w:rPr>
                <w:rFonts w:ascii="Arial" w:cs="Arial" w:eastAsia="Arial" w:hAnsi="Arial"/>
                <w:sz w:val="13"/>
                <w:szCs w:val="13"/>
                <w:color w:val="auto"/>
                <w:w w:val="97"/>
              </w:rPr>
              <w:t>475,000</w:t>
            </w:r>
          </w:p>
        </w:tc>
      </w:tr>
      <w:tr>
        <w:trPr>
          <w:trHeight w:val="136"/>
        </w:trPr>
        <w:tc>
          <w:tcPr>
            <w:tcW w:w="582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Restricted stock units</w:t>
            </w:r>
          </w:p>
        </w:tc>
        <w:tc>
          <w:tcPr>
            <w:tcW w:w="1080" w:type="dxa"/>
            <w:vAlign w:val="bottom"/>
            <w:tcBorders>
              <w:bottom w:val="single" w:sz="8" w:color="auto"/>
              <w:right w:val="single" w:sz="8" w:color="auto"/>
            </w:tcBorders>
          </w:tcPr>
          <w:p>
            <w:pPr>
              <w:jc w:val="right"/>
              <w:ind w:right="137"/>
              <w:spacing w:after="0" w:line="136" w:lineRule="exact"/>
              <w:rPr>
                <w:sz w:val="20"/>
                <w:szCs w:val="20"/>
                <w:color w:val="auto"/>
              </w:rPr>
            </w:pPr>
            <w:r>
              <w:rPr>
                <w:rFonts w:ascii="Arial" w:cs="Arial" w:eastAsia="Arial" w:hAnsi="Arial"/>
                <w:sz w:val="13"/>
                <w:szCs w:val="13"/>
                <w:color w:val="auto"/>
              </w:rPr>
              <w:t>873,689</w:t>
            </w:r>
          </w:p>
        </w:tc>
        <w:tc>
          <w:tcPr>
            <w:tcW w:w="920" w:type="dxa"/>
            <w:vAlign w:val="bottom"/>
            <w:tcBorders>
              <w:bottom w:val="single" w:sz="8" w:color="auto"/>
              <w:right w:val="single" w:sz="8" w:color="auto"/>
            </w:tcBorders>
          </w:tcPr>
          <w:p>
            <w:pPr>
              <w:jc w:val="right"/>
              <w:ind w:right="117"/>
              <w:spacing w:after="0" w:line="136" w:lineRule="exact"/>
              <w:rPr>
                <w:sz w:val="20"/>
                <w:szCs w:val="20"/>
                <w:color w:val="auto"/>
              </w:rPr>
            </w:pPr>
            <w:r>
              <w:rPr>
                <w:rFonts w:ascii="Arial" w:cs="Arial" w:eastAsia="Arial" w:hAnsi="Arial"/>
                <w:sz w:val="13"/>
                <w:szCs w:val="13"/>
                <w:color w:val="auto"/>
              </w:rPr>
              <w:t>873,689</w:t>
            </w:r>
          </w:p>
        </w:tc>
        <w:tc>
          <w:tcPr>
            <w:tcW w:w="1220" w:type="dxa"/>
            <w:vAlign w:val="bottom"/>
            <w:tcBorders>
              <w:bottom w:val="single" w:sz="8" w:color="auto"/>
              <w:right w:val="single" w:sz="8" w:color="auto"/>
            </w:tcBorders>
          </w:tcPr>
          <w:p>
            <w:pPr>
              <w:jc w:val="right"/>
              <w:ind w:right="297"/>
              <w:spacing w:after="0" w:line="136"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tcPr>
          <w:p>
            <w:pPr>
              <w:jc w:val="right"/>
              <w:ind w:right="117"/>
              <w:spacing w:after="0" w:line="136" w:lineRule="exact"/>
              <w:rPr>
                <w:sz w:val="20"/>
                <w:szCs w:val="20"/>
                <w:color w:val="auto"/>
              </w:rPr>
            </w:pPr>
            <w:r>
              <w:rPr>
                <w:rFonts w:ascii="Arial" w:cs="Arial" w:eastAsia="Arial" w:hAnsi="Arial"/>
                <w:sz w:val="13"/>
                <w:szCs w:val="13"/>
                <w:color w:val="auto"/>
              </w:rPr>
              <w:t>218,422</w:t>
            </w:r>
          </w:p>
        </w:tc>
        <w:tc>
          <w:tcPr>
            <w:tcW w:w="1240" w:type="dxa"/>
            <w:vAlign w:val="bottom"/>
            <w:tcBorders>
              <w:bottom w:val="single" w:sz="8" w:color="auto"/>
            </w:tcBorders>
          </w:tcPr>
          <w:p>
            <w:pPr>
              <w:jc w:val="center"/>
              <w:ind w:left="77"/>
              <w:spacing w:after="0" w:line="136" w:lineRule="exact"/>
              <w:rPr>
                <w:sz w:val="20"/>
                <w:szCs w:val="20"/>
                <w:color w:val="auto"/>
              </w:rPr>
            </w:pPr>
            <w:r>
              <w:rPr>
                <w:rFonts w:ascii="Arial" w:cs="Arial" w:eastAsia="Arial" w:hAnsi="Arial"/>
                <w:sz w:val="13"/>
                <w:szCs w:val="13"/>
                <w:color w:val="auto"/>
                <w:w w:val="97"/>
              </w:rPr>
              <w:t>873,689</w:t>
            </w:r>
          </w:p>
        </w:tc>
      </w:tr>
      <w:tr>
        <w:trPr>
          <w:trHeight w:val="145"/>
        </w:trPr>
        <w:tc>
          <w:tcPr>
            <w:tcW w:w="582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color w:val="auto"/>
              </w:rPr>
              <w:t>Performance restricted stock units</w:t>
            </w:r>
          </w:p>
        </w:tc>
        <w:tc>
          <w:tcPr>
            <w:tcW w:w="1080" w:type="dxa"/>
            <w:vAlign w:val="bottom"/>
            <w:tcBorders>
              <w:bottom w:val="single" w:sz="8" w:color="479EFF"/>
              <w:right w:val="single" w:sz="8" w:color="auto"/>
            </w:tcBorders>
          </w:tcPr>
          <w:p>
            <w:pPr>
              <w:jc w:val="right"/>
              <w:ind w:right="137"/>
              <w:spacing w:after="0" w:line="136" w:lineRule="exact"/>
              <w:rPr>
                <w:sz w:val="20"/>
                <w:szCs w:val="20"/>
                <w:color w:val="auto"/>
              </w:rPr>
            </w:pPr>
            <w:r>
              <w:rPr>
                <w:rFonts w:ascii="Arial" w:cs="Arial" w:eastAsia="Arial" w:hAnsi="Arial"/>
                <w:sz w:val="13"/>
                <w:szCs w:val="13"/>
                <w:color w:val="auto"/>
              </w:rPr>
              <w:t>123,852</w:t>
            </w:r>
          </w:p>
        </w:tc>
        <w:tc>
          <w:tcPr>
            <w:tcW w:w="920" w:type="dxa"/>
            <w:vAlign w:val="bottom"/>
            <w:tcBorders>
              <w:bottom w:val="single" w:sz="8" w:color="479EFF"/>
              <w:right w:val="single" w:sz="8" w:color="auto"/>
            </w:tcBorders>
          </w:tcPr>
          <w:p>
            <w:pPr>
              <w:jc w:val="right"/>
              <w:ind w:right="117"/>
              <w:spacing w:after="0" w:line="136" w:lineRule="exact"/>
              <w:rPr>
                <w:sz w:val="20"/>
                <w:szCs w:val="20"/>
                <w:color w:val="auto"/>
              </w:rPr>
            </w:pPr>
            <w:r>
              <w:rPr>
                <w:rFonts w:ascii="Arial" w:cs="Arial" w:eastAsia="Arial" w:hAnsi="Arial"/>
                <w:sz w:val="13"/>
                <w:szCs w:val="13"/>
                <w:color w:val="auto"/>
              </w:rPr>
              <w:t>371,592</w:t>
            </w:r>
          </w:p>
        </w:tc>
        <w:tc>
          <w:tcPr>
            <w:tcW w:w="1220" w:type="dxa"/>
            <w:vAlign w:val="bottom"/>
            <w:tcBorders>
              <w:bottom w:val="single" w:sz="8" w:color="479EFF"/>
              <w:right w:val="single" w:sz="8" w:color="auto"/>
            </w:tcBorders>
          </w:tcPr>
          <w:p>
            <w:pPr>
              <w:jc w:val="right"/>
              <w:ind w:right="297"/>
              <w:spacing w:after="0" w:line="136"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479EFF"/>
              <w:right w:val="single" w:sz="8" w:color="auto"/>
            </w:tcBorders>
          </w:tcPr>
          <w:p>
            <w:pPr>
              <w:jc w:val="right"/>
              <w:ind w:right="117"/>
              <w:spacing w:after="0" w:line="136" w:lineRule="exact"/>
              <w:rPr>
                <w:sz w:val="20"/>
                <w:szCs w:val="20"/>
                <w:color w:val="auto"/>
              </w:rPr>
            </w:pPr>
            <w:r>
              <w:rPr>
                <w:rFonts w:ascii="Arial" w:cs="Arial" w:eastAsia="Arial" w:hAnsi="Arial"/>
                <w:sz w:val="13"/>
                <w:szCs w:val="13"/>
                <w:color w:val="auto"/>
              </w:rPr>
              <w:t>247,741</w:t>
            </w:r>
          </w:p>
        </w:tc>
        <w:tc>
          <w:tcPr>
            <w:tcW w:w="1240" w:type="dxa"/>
            <w:vAlign w:val="bottom"/>
            <w:tcBorders>
              <w:bottom w:val="single" w:sz="8" w:color="479EFF"/>
            </w:tcBorders>
          </w:tcPr>
          <w:p>
            <w:pPr>
              <w:jc w:val="center"/>
              <w:ind w:left="77"/>
              <w:spacing w:after="0" w:line="136" w:lineRule="exact"/>
              <w:rPr>
                <w:sz w:val="20"/>
                <w:szCs w:val="20"/>
                <w:color w:val="auto"/>
              </w:rPr>
            </w:pPr>
            <w:r>
              <w:rPr>
                <w:rFonts w:ascii="Arial" w:cs="Arial" w:eastAsia="Arial" w:hAnsi="Arial"/>
                <w:sz w:val="13"/>
                <w:szCs w:val="13"/>
                <w:color w:val="auto"/>
                <w:w w:val="97"/>
              </w:rPr>
              <w:t>371,592</w:t>
            </w:r>
          </w:p>
        </w:tc>
      </w:tr>
      <w:tr>
        <w:trPr>
          <w:trHeight w:val="310"/>
        </w:trPr>
        <w:tc>
          <w:tcPr>
            <w:tcW w:w="5820" w:type="dxa"/>
            <w:vAlign w:val="bottom"/>
          </w:tcPr>
          <w:p>
            <w:pPr>
              <w:spacing w:after="0"/>
              <w:rPr>
                <w:sz w:val="20"/>
                <w:szCs w:val="20"/>
                <w:color w:val="auto"/>
              </w:rPr>
            </w:pPr>
            <w:r>
              <w:rPr>
                <w:rFonts w:ascii="Arial" w:cs="Arial" w:eastAsia="Arial" w:hAnsi="Arial"/>
                <w:sz w:val="13"/>
                <w:szCs w:val="13"/>
                <w:b w:val="1"/>
                <w:bCs w:val="1"/>
                <w:color w:val="FF4000"/>
              </w:rPr>
              <w:t>Pavan Bagai</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49" w:lineRule="exact"/>
        <w:rPr>
          <w:sz w:val="20"/>
          <w:szCs w:val="20"/>
          <w:color w:val="auto"/>
        </w:rPr>
      </w:pPr>
    </w:p>
    <w:p>
      <w:pPr>
        <w:jc w:val="both"/>
        <w:ind w:right="60"/>
        <w:spacing w:after="0" w:line="266" w:lineRule="auto"/>
        <w:rPr>
          <w:sz w:val="20"/>
          <w:szCs w:val="20"/>
          <w:color w:val="auto"/>
        </w:rPr>
      </w:pPr>
      <w:r>
        <w:rPr>
          <w:rFonts w:ascii="Arial" w:cs="Arial" w:eastAsia="Arial" w:hAnsi="Arial"/>
          <w:sz w:val="12"/>
          <w:szCs w:val="12"/>
          <w:color w:val="auto"/>
        </w:rPr>
        <w:t>Either Mr. Bagai or we may terminate Mr. Bagai's employment at any time with three months' notice (or pay three months' salary in lieu of notice). If Mr. Bagai is terminated by us without "cause" (other than due to disability) at any time following a change in control or in specific contemplation of a change in control, or if Mr. Bagai resigns for "good reason" following a "change in control" (as defined in the 2015 Plan), Mr. Bagai will receive a cash severance payment equal to twelve months' of his then-current annual fixed compensation, payable in twelve equal monthly installments.</w:t>
      </w:r>
    </w:p>
    <w:p>
      <w:pPr>
        <w:spacing w:after="0" w:line="134" w:lineRule="exact"/>
        <w:rPr>
          <w:sz w:val="20"/>
          <w:szCs w:val="20"/>
          <w:color w:val="auto"/>
        </w:rPr>
      </w:pPr>
    </w:p>
    <w:p>
      <w:pPr>
        <w:jc w:val="both"/>
        <w:ind w:right="80"/>
        <w:spacing w:after="0" w:line="239" w:lineRule="auto"/>
        <w:rPr>
          <w:sz w:val="20"/>
          <w:szCs w:val="20"/>
          <w:color w:val="auto"/>
        </w:rPr>
      </w:pPr>
      <w:r>
        <w:rPr>
          <w:rFonts w:ascii="Arial" w:cs="Arial" w:eastAsia="Arial" w:hAnsi="Arial"/>
          <w:sz w:val="13"/>
          <w:szCs w:val="13"/>
          <w:color w:val="auto"/>
        </w:rPr>
        <w:t>On a "change in control" (as defined in the 2018 Plan) or death, Mr. Bagai's outstanding equity awards will vest in the same manner as described for Mr. Nicolelli's outstanding equity awards beginning on Page 96.</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Mr. Bagai's severance payments and termination-related equity acceleration are subject to his execution of a waiver and release of claims against us. Mr. Bagai is subject to confidentiality restrictions at all times, as well as noncompetition and nonsolicitation restrictions for two years following termination of his employment.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00" w:type="dxa"/>
            <w:vAlign w:val="bottom"/>
          </w:tcPr>
          <w:p>
            <w:pPr>
              <w:spacing w:after="0"/>
              <w:rPr>
                <w:sz w:val="20"/>
                <w:szCs w:val="20"/>
                <w:color w:val="auto"/>
              </w:rPr>
            </w:pPr>
            <w:r>
              <w:rPr>
                <w:rFonts w:ascii="Arial" w:cs="Arial" w:eastAsia="Arial" w:hAnsi="Arial"/>
                <w:sz w:val="13"/>
                <w:szCs w:val="13"/>
                <w:b w:val="1"/>
                <w:bCs w:val="1"/>
                <w:color w:val="479EFF"/>
              </w:rPr>
              <w:t>Indicative Payouts for Pavan Bagai</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79"/>
        </w:trPr>
        <w:tc>
          <w:tcPr>
            <w:tcW w:w="5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jc w:val="center"/>
              <w:ind w:left="17"/>
              <w:spacing w:after="0"/>
              <w:rPr>
                <w:sz w:val="20"/>
                <w:szCs w:val="20"/>
                <w:color w:val="auto"/>
              </w:rPr>
            </w:pPr>
            <w:r>
              <w:rPr>
                <w:rFonts w:ascii="Arial" w:cs="Arial" w:eastAsia="Arial" w:hAnsi="Arial"/>
                <w:sz w:val="13"/>
                <w:szCs w:val="13"/>
                <w:b w:val="1"/>
                <w:bCs w:val="1"/>
                <w:color w:val="479EFF"/>
                <w:w w:val="96"/>
              </w:rPr>
              <w:t>Termination</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Without Cause or</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37"/>
              <w:spacing w:after="0" w:line="146" w:lineRule="exact"/>
              <w:rPr>
                <w:sz w:val="20"/>
                <w:szCs w:val="20"/>
                <w:color w:val="auto"/>
              </w:rPr>
            </w:pPr>
            <w:r>
              <w:rPr>
                <w:rFonts w:ascii="Arial" w:cs="Arial" w:eastAsia="Arial" w:hAnsi="Arial"/>
                <w:sz w:val="13"/>
                <w:szCs w:val="13"/>
                <w:b w:val="1"/>
                <w:bCs w:val="1"/>
                <w:color w:val="479EFF"/>
                <w:w w:val="96"/>
              </w:rPr>
              <w:t>for Good Reason</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Following Change</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7"/>
              </w:rPr>
              <w:t>in Control or</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Termination</w:t>
            </w:r>
          </w:p>
        </w:tc>
      </w:tr>
      <w:tr>
        <w:trPr>
          <w:trHeight w:val="146"/>
        </w:trPr>
        <w:tc>
          <w:tcPr>
            <w:tcW w:w="5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Without Cause</w:t>
            </w:r>
          </w:p>
        </w:tc>
      </w:tr>
      <w:tr>
        <w:trPr>
          <w:trHeight w:val="146"/>
        </w:trPr>
        <w:tc>
          <w:tcPr>
            <w:tcW w:w="53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Death Prior to</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Death After</w:t>
            </w:r>
          </w:p>
        </w:tc>
        <w:tc>
          <w:tcPr>
            <w:tcW w:w="76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Termination for</w:t>
            </w:r>
          </w:p>
        </w:tc>
        <w:tc>
          <w:tcPr>
            <w:tcW w:w="80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8"/>
              </w:rPr>
              <w:t>in Specific</w:t>
            </w:r>
          </w:p>
        </w:tc>
      </w:tr>
      <w:tr>
        <w:trPr>
          <w:trHeight w:val="146"/>
        </w:trPr>
        <w:tc>
          <w:tcPr>
            <w:tcW w:w="53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9"/>
              </w:rPr>
              <w:t>a Change</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9"/>
              </w:rPr>
              <w:t>a Change</w:t>
            </w:r>
          </w:p>
        </w:tc>
        <w:tc>
          <w:tcPr>
            <w:tcW w:w="76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Good Reason or</w:t>
            </w:r>
          </w:p>
        </w:tc>
        <w:tc>
          <w:tcPr>
            <w:tcW w:w="80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rPr>
              <w:t>Change</w:t>
            </w: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7"/>
              </w:rPr>
              <w:t>Contemplation of</w:t>
            </w:r>
          </w:p>
        </w:tc>
      </w:tr>
      <w:tr>
        <w:trPr>
          <w:trHeight w:val="146"/>
        </w:trPr>
        <w:tc>
          <w:tcPr>
            <w:tcW w:w="53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76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Disability</w:t>
            </w:r>
          </w:p>
        </w:tc>
        <w:tc>
          <w:tcPr>
            <w:tcW w:w="11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Without Cause</w:t>
            </w:r>
          </w:p>
        </w:tc>
        <w:tc>
          <w:tcPr>
            <w:tcW w:w="80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1200" w:type="dxa"/>
            <w:vAlign w:val="bottom"/>
          </w:tcPr>
          <w:p>
            <w:pPr>
              <w:jc w:val="center"/>
              <w:ind w:left="37"/>
              <w:spacing w:after="0" w:line="146" w:lineRule="exact"/>
              <w:rPr>
                <w:sz w:val="20"/>
                <w:szCs w:val="20"/>
                <w:color w:val="auto"/>
              </w:rPr>
            </w:pPr>
            <w:r>
              <w:rPr>
                <w:rFonts w:ascii="Arial" w:cs="Arial" w:eastAsia="Arial" w:hAnsi="Arial"/>
                <w:sz w:val="13"/>
                <w:szCs w:val="13"/>
                <w:b w:val="1"/>
                <w:bCs w:val="1"/>
                <w:color w:val="479EFF"/>
                <w:w w:val="97"/>
              </w:rPr>
              <w:t>Change in Control</w:t>
            </w:r>
          </w:p>
        </w:tc>
      </w:tr>
      <w:tr>
        <w:trPr>
          <w:trHeight w:val="169"/>
        </w:trPr>
        <w:tc>
          <w:tcPr>
            <w:tcW w:w="5300" w:type="dxa"/>
            <w:vAlign w:val="bottom"/>
            <w:tcBorders>
              <w:bottom w:val="single" w:sz="8" w:color="479EFF"/>
            </w:tcBorders>
          </w:tcPr>
          <w:p>
            <w:pPr>
              <w:spacing w:after="0"/>
              <w:rPr>
                <w:sz w:val="20"/>
                <w:szCs w:val="20"/>
                <w:color w:val="auto"/>
              </w:rPr>
            </w:pPr>
            <w:r>
              <w:rPr>
                <w:rFonts w:ascii="Arial" w:cs="Arial" w:eastAsia="Arial" w:hAnsi="Arial"/>
                <w:sz w:val="13"/>
                <w:szCs w:val="13"/>
                <w:b w:val="1"/>
                <w:bCs w:val="1"/>
                <w:color w:val="479EFF"/>
              </w:rPr>
              <w:t>Payments upon Termination</w:t>
            </w:r>
          </w:p>
        </w:tc>
        <w:tc>
          <w:tcPr>
            <w:tcW w:w="102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88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w w:val="87"/>
              </w:rPr>
              <w:t>($)</w:t>
            </w:r>
          </w:p>
        </w:tc>
        <w:tc>
          <w:tcPr>
            <w:tcW w:w="76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118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w w:val="87"/>
              </w:rPr>
              <w:t>($)</w:t>
            </w:r>
          </w:p>
        </w:tc>
        <w:tc>
          <w:tcPr>
            <w:tcW w:w="80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1200" w:type="dxa"/>
            <w:vAlign w:val="bottom"/>
            <w:tcBorders>
              <w:bottom w:val="single" w:sz="8" w:color="479EFF"/>
            </w:tcBorders>
          </w:tcPr>
          <w:p>
            <w:pPr>
              <w:jc w:val="center"/>
              <w:ind w:left="17"/>
              <w:spacing w:after="0"/>
              <w:rPr>
                <w:sz w:val="20"/>
                <w:szCs w:val="20"/>
                <w:color w:val="auto"/>
              </w:rPr>
            </w:pPr>
            <w:r>
              <w:rPr>
                <w:rFonts w:ascii="Arial" w:cs="Arial" w:eastAsia="Arial" w:hAnsi="Arial"/>
                <w:sz w:val="13"/>
                <w:szCs w:val="13"/>
                <w:b w:val="1"/>
                <w:bCs w:val="1"/>
                <w:color w:val="479EFF"/>
              </w:rPr>
              <w:t>($)</w:t>
            </w:r>
          </w:p>
        </w:tc>
      </w:tr>
      <w:tr>
        <w:trPr>
          <w:trHeight w:val="146"/>
        </w:trPr>
        <w:tc>
          <w:tcPr>
            <w:tcW w:w="530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Base salary payout</w:t>
            </w:r>
          </w:p>
        </w:tc>
        <w:tc>
          <w:tcPr>
            <w:tcW w:w="102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91"/>
              </w:rPr>
              <w:t>—</w:t>
            </w:r>
          </w:p>
        </w:tc>
        <w:tc>
          <w:tcPr>
            <w:tcW w:w="1180" w:type="dxa"/>
            <w:vAlign w:val="bottom"/>
            <w:tcBorders>
              <w:bottom w:val="single" w:sz="8" w:color="auto"/>
              <w:right w:val="single" w:sz="8" w:color="auto"/>
            </w:tcBorders>
          </w:tcPr>
          <w:p>
            <w:pPr>
              <w:jc w:val="right"/>
              <w:ind w:right="297"/>
              <w:spacing w:after="0" w:line="146" w:lineRule="exact"/>
              <w:rPr>
                <w:sz w:val="20"/>
                <w:szCs w:val="20"/>
                <w:color w:val="auto"/>
              </w:rPr>
            </w:pPr>
            <w:r>
              <w:rPr>
                <w:rFonts w:ascii="Arial" w:cs="Arial" w:eastAsia="Arial" w:hAnsi="Arial"/>
                <w:sz w:val="13"/>
                <w:szCs w:val="13"/>
                <w:color w:val="auto"/>
              </w:rPr>
              <w:t>355,848</w:t>
            </w:r>
          </w:p>
        </w:tc>
        <w:tc>
          <w:tcPr>
            <w:tcW w:w="80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217"/>
              <w:spacing w:after="0" w:line="146" w:lineRule="exact"/>
              <w:rPr>
                <w:sz w:val="20"/>
                <w:szCs w:val="20"/>
                <w:color w:val="auto"/>
              </w:rPr>
            </w:pPr>
            <w:r>
              <w:rPr>
                <w:rFonts w:ascii="Arial" w:cs="Arial" w:eastAsia="Arial" w:hAnsi="Arial"/>
                <w:sz w:val="13"/>
                <w:szCs w:val="13"/>
                <w:color w:val="auto"/>
              </w:rPr>
              <w:t>355,848</w:t>
            </w:r>
          </w:p>
        </w:tc>
      </w:tr>
      <w:tr>
        <w:trPr>
          <w:trHeight w:val="136"/>
        </w:trPr>
        <w:tc>
          <w:tcPr>
            <w:tcW w:w="53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Restricted stock units</w:t>
            </w:r>
          </w:p>
        </w:tc>
        <w:tc>
          <w:tcPr>
            <w:tcW w:w="102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2,248,624</w:t>
            </w:r>
          </w:p>
        </w:tc>
        <w:tc>
          <w:tcPr>
            <w:tcW w:w="88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2,248,624</w:t>
            </w:r>
          </w:p>
        </w:tc>
        <w:tc>
          <w:tcPr>
            <w:tcW w:w="76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1"/>
              </w:rPr>
              <w:t>—</w:t>
            </w:r>
          </w:p>
        </w:tc>
        <w:tc>
          <w:tcPr>
            <w:tcW w:w="1180" w:type="dxa"/>
            <w:vAlign w:val="bottom"/>
            <w:tcBorders>
              <w:bottom w:val="single" w:sz="8" w:color="auto"/>
              <w:right w:val="single" w:sz="8" w:color="auto"/>
            </w:tcBorders>
          </w:tcPr>
          <w:p>
            <w:pPr>
              <w:jc w:val="right"/>
              <w:ind w:right="297"/>
              <w:spacing w:after="0" w:line="136"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916,637</w:t>
            </w:r>
          </w:p>
        </w:tc>
        <w:tc>
          <w:tcPr>
            <w:tcW w:w="1200" w:type="dxa"/>
            <w:vAlign w:val="bottom"/>
            <w:tcBorders>
              <w:bottom w:val="single" w:sz="8" w:color="auto"/>
            </w:tcBorders>
          </w:tcPr>
          <w:p>
            <w:pPr>
              <w:jc w:val="right"/>
              <w:ind w:right="217"/>
              <w:spacing w:after="0" w:line="136" w:lineRule="exact"/>
              <w:rPr>
                <w:sz w:val="20"/>
                <w:szCs w:val="20"/>
                <w:color w:val="auto"/>
              </w:rPr>
            </w:pPr>
            <w:r>
              <w:rPr>
                <w:rFonts w:ascii="Arial" w:cs="Arial" w:eastAsia="Arial" w:hAnsi="Arial"/>
                <w:sz w:val="13"/>
                <w:szCs w:val="13"/>
                <w:color w:val="auto"/>
              </w:rPr>
              <w:t>2,248,624</w:t>
            </w:r>
          </w:p>
        </w:tc>
      </w:tr>
      <w:tr>
        <w:trPr>
          <w:trHeight w:val="136"/>
        </w:trPr>
        <w:tc>
          <w:tcPr>
            <w:tcW w:w="53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Performance restricted stock units</w:t>
            </w:r>
          </w:p>
        </w:tc>
        <w:tc>
          <w:tcPr>
            <w:tcW w:w="102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905,076</w:t>
            </w:r>
          </w:p>
        </w:tc>
        <w:tc>
          <w:tcPr>
            <w:tcW w:w="88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2,068,814</w:t>
            </w:r>
          </w:p>
        </w:tc>
        <w:tc>
          <w:tcPr>
            <w:tcW w:w="76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1"/>
              </w:rPr>
              <w:t>—</w:t>
            </w:r>
          </w:p>
        </w:tc>
        <w:tc>
          <w:tcPr>
            <w:tcW w:w="1180" w:type="dxa"/>
            <w:vAlign w:val="bottom"/>
            <w:tcBorders>
              <w:bottom w:val="single" w:sz="8" w:color="auto"/>
              <w:right w:val="single" w:sz="8" w:color="auto"/>
            </w:tcBorders>
          </w:tcPr>
          <w:p>
            <w:pPr>
              <w:jc w:val="right"/>
              <w:ind w:right="297"/>
              <w:spacing w:after="0" w:line="136"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1,783,799</w:t>
            </w:r>
          </w:p>
        </w:tc>
        <w:tc>
          <w:tcPr>
            <w:tcW w:w="1200" w:type="dxa"/>
            <w:vAlign w:val="bottom"/>
            <w:tcBorders>
              <w:bottom w:val="single" w:sz="8" w:color="auto"/>
            </w:tcBorders>
          </w:tcPr>
          <w:p>
            <w:pPr>
              <w:jc w:val="right"/>
              <w:ind w:right="217"/>
              <w:spacing w:after="0" w:line="136" w:lineRule="exact"/>
              <w:rPr>
                <w:sz w:val="20"/>
                <w:szCs w:val="20"/>
                <w:color w:val="auto"/>
              </w:rPr>
            </w:pPr>
            <w:r>
              <w:rPr>
                <w:rFonts w:ascii="Arial" w:cs="Arial" w:eastAsia="Arial" w:hAnsi="Arial"/>
                <w:sz w:val="13"/>
                <w:szCs w:val="13"/>
                <w:color w:val="auto"/>
              </w:rPr>
              <w:t>2,068,814</w:t>
            </w:r>
          </w:p>
        </w:tc>
      </w:tr>
      <w:tr>
        <w:trPr>
          <w:trHeight w:val="174"/>
        </w:trPr>
        <w:tc>
          <w:tcPr>
            <w:tcW w:w="5300" w:type="dxa"/>
            <w:vAlign w:val="bottom"/>
            <w:tcBorders>
              <w:bottom w:val="single" w:sz="8" w:color="479EFF"/>
              <w:right w:val="single" w:sz="8" w:color="auto"/>
            </w:tcBorders>
          </w:tcPr>
          <w:p>
            <w:pPr>
              <w:spacing w:after="0" w:line="165" w:lineRule="exact"/>
              <w:rPr>
                <w:sz w:val="20"/>
                <w:szCs w:val="20"/>
                <w:color w:val="auto"/>
              </w:rPr>
            </w:pPr>
            <w:r>
              <w:rPr>
                <w:rFonts w:ascii="Arial" w:cs="Arial" w:eastAsia="Arial" w:hAnsi="Arial"/>
                <w:sz w:val="12"/>
                <w:szCs w:val="12"/>
                <w:color w:val="auto"/>
              </w:rPr>
              <w:t>Government-required payouts</w:t>
            </w:r>
            <w:r>
              <w:rPr>
                <w:rFonts w:ascii="Arial" w:cs="Arial" w:eastAsia="Arial" w:hAnsi="Arial"/>
                <w:sz w:val="19"/>
                <w:szCs w:val="19"/>
                <w:color w:val="auto"/>
                <w:vertAlign w:val="superscript"/>
              </w:rPr>
              <w:t>(1)</w:t>
            </w:r>
          </w:p>
        </w:tc>
        <w:tc>
          <w:tcPr>
            <w:tcW w:w="1020" w:type="dxa"/>
            <w:vAlign w:val="bottom"/>
            <w:tcBorders>
              <w:bottom w:val="single" w:sz="8" w:color="479EFF"/>
              <w:right w:val="single" w:sz="8" w:color="auto"/>
            </w:tcBorders>
          </w:tcPr>
          <w:p>
            <w:pPr>
              <w:jc w:val="right"/>
              <w:ind w:right="57"/>
              <w:spacing w:after="0"/>
              <w:rPr>
                <w:sz w:val="20"/>
                <w:szCs w:val="20"/>
                <w:color w:val="auto"/>
              </w:rPr>
            </w:pPr>
            <w:r>
              <w:rPr>
                <w:rFonts w:ascii="Arial" w:cs="Arial" w:eastAsia="Arial" w:hAnsi="Arial"/>
                <w:sz w:val="13"/>
                <w:szCs w:val="13"/>
                <w:color w:val="auto"/>
              </w:rPr>
              <w:t>107,781</w:t>
            </w:r>
          </w:p>
        </w:tc>
        <w:tc>
          <w:tcPr>
            <w:tcW w:w="880" w:type="dxa"/>
            <w:vAlign w:val="bottom"/>
            <w:tcBorders>
              <w:bottom w:val="single" w:sz="8" w:color="479EFF"/>
              <w:right w:val="single" w:sz="8" w:color="auto"/>
            </w:tcBorders>
          </w:tcPr>
          <w:p>
            <w:pPr>
              <w:jc w:val="right"/>
              <w:ind w:right="57"/>
              <w:spacing w:after="0"/>
              <w:rPr>
                <w:sz w:val="20"/>
                <w:szCs w:val="20"/>
                <w:color w:val="auto"/>
              </w:rPr>
            </w:pPr>
            <w:r>
              <w:rPr>
                <w:rFonts w:ascii="Arial" w:cs="Arial" w:eastAsia="Arial" w:hAnsi="Arial"/>
                <w:sz w:val="13"/>
                <w:szCs w:val="13"/>
                <w:color w:val="auto"/>
              </w:rPr>
              <w:t>107,781</w:t>
            </w:r>
          </w:p>
        </w:tc>
        <w:tc>
          <w:tcPr>
            <w:tcW w:w="760" w:type="dxa"/>
            <w:vAlign w:val="bottom"/>
            <w:tcBorders>
              <w:bottom w:val="single" w:sz="8" w:color="479EFF"/>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180" w:type="dxa"/>
            <w:vAlign w:val="bottom"/>
            <w:tcBorders>
              <w:bottom w:val="single" w:sz="8" w:color="479EFF"/>
              <w:right w:val="single" w:sz="8" w:color="auto"/>
            </w:tcBorders>
          </w:tcPr>
          <w:p>
            <w:pPr>
              <w:jc w:val="right"/>
              <w:ind w:right="297"/>
              <w:spacing w:after="0"/>
              <w:rPr>
                <w:sz w:val="20"/>
                <w:szCs w:val="20"/>
                <w:color w:val="auto"/>
              </w:rPr>
            </w:pPr>
            <w:r>
              <w:rPr>
                <w:rFonts w:ascii="Arial" w:cs="Arial" w:eastAsia="Arial" w:hAnsi="Arial"/>
                <w:sz w:val="13"/>
                <w:szCs w:val="13"/>
                <w:color w:val="auto"/>
              </w:rPr>
              <w:t>107,781</w:t>
            </w:r>
          </w:p>
        </w:tc>
        <w:tc>
          <w:tcPr>
            <w:tcW w:w="800" w:type="dxa"/>
            <w:vAlign w:val="bottom"/>
            <w:tcBorders>
              <w:bottom w:val="single" w:sz="8" w:color="479EFF"/>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479EFF"/>
            </w:tcBorders>
          </w:tcPr>
          <w:p>
            <w:pPr>
              <w:jc w:val="right"/>
              <w:ind w:right="217"/>
              <w:spacing w:after="0"/>
              <w:rPr>
                <w:sz w:val="20"/>
                <w:szCs w:val="20"/>
                <w:color w:val="auto"/>
              </w:rPr>
            </w:pPr>
            <w:r>
              <w:rPr>
                <w:rFonts w:ascii="Arial" w:cs="Arial" w:eastAsia="Arial" w:hAnsi="Arial"/>
                <w:sz w:val="13"/>
                <w:szCs w:val="13"/>
                <w:color w:val="auto"/>
              </w:rPr>
              <w:t>107,781</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(1) Represents distributions under the Gratuity Plan, which is due to Mr. Bagai because he has earned over five years of credited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1408430" cy="3333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00"/>
          </w:cols>
          <w:pgMar w:left="300" w:top="142" w:right="399" w:bottom="1440" w:gutter="0" w:footer="0" w:header="0"/>
        </w:sectPr>
      </w:pPr>
    </w:p>
    <w:bookmarkStart w:id="99" w:name="page100"/>
    <w:bookmarkEnd w:id="9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Nalin Miglani</w:t>
      </w:r>
    </w:p>
    <w:p>
      <w:pPr>
        <w:spacing w:after="0" w:line="168" w:lineRule="exact"/>
        <w:rPr>
          <w:sz w:val="20"/>
          <w:szCs w:val="20"/>
          <w:color w:val="auto"/>
        </w:rPr>
      </w:pPr>
    </w:p>
    <w:p>
      <w:pPr>
        <w:ind w:right="140"/>
        <w:spacing w:after="0" w:line="236" w:lineRule="auto"/>
        <w:rPr>
          <w:sz w:val="20"/>
          <w:szCs w:val="20"/>
          <w:color w:val="auto"/>
        </w:rPr>
      </w:pPr>
      <w:r>
        <w:rPr>
          <w:rFonts w:ascii="Arial" w:cs="Arial" w:eastAsia="Arial" w:hAnsi="Arial"/>
          <w:sz w:val="13"/>
          <w:szCs w:val="13"/>
          <w:color w:val="auto"/>
        </w:rPr>
        <w:t>Either Mr. Miglani or we may terminate Mr. Miglani's employment at any time (though we must give Mr. Miglani 30 days' notice if the termination is without "cause" and Mr. Miglani must give us 90 days' advance notice upon any resignation). If Mr. Miglani's employment with the Company is terminated by the Company without "cause" (other than due to death or disability) or by Mr. Miglani for "good reason" (both "cause" and "good reason" as defined above), Mr. Miglani will receive a cash severance payment equal to 12 months base salary, with 25% payable as a lump sum payment and the remaining 75% payable in accordance with the Company's regular payroll practices.</w:t>
      </w:r>
    </w:p>
    <w:p>
      <w:pPr>
        <w:spacing w:after="0" w:line="151"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On a "change in control" (as defined in the 2018 Plan) or death, Mr. Miglani's outstanding equity awards will vest in the same manner as described for Mr. Nicolelli's outstanding equity awards beginning on Page 96.</w:t>
      </w:r>
    </w:p>
    <w:p>
      <w:pPr>
        <w:spacing w:after="0" w:line="150"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Mr. Miglani's severance payments and termination-related equity acceleration are subject to his execution of a release of claims against us. Mr. Miglani is subject to confidentiality restrictions at all times, as well as noncompetition, nondisparagement and nonsolicitation restrictions during his employment and for one year thereafter.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tcPr>
          <w:p>
            <w:pPr>
              <w:spacing w:after="0"/>
              <w:rPr>
                <w:sz w:val="20"/>
                <w:szCs w:val="20"/>
                <w:color w:val="auto"/>
              </w:rPr>
            </w:pPr>
            <w:r>
              <w:rPr>
                <w:rFonts w:ascii="Arial" w:cs="Arial" w:eastAsia="Arial" w:hAnsi="Arial"/>
                <w:sz w:val="13"/>
                <w:szCs w:val="13"/>
                <w:b w:val="1"/>
                <w:bCs w:val="1"/>
                <w:color w:val="479EFF"/>
              </w:rPr>
              <w:t>Indicative Payouts for Nalin Miglani</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79"/>
        </w:trPr>
        <w:tc>
          <w:tcPr>
            <w:tcW w:w="5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jc w:val="center"/>
              <w:ind w:left="17"/>
              <w:spacing w:after="0"/>
              <w:rPr>
                <w:sz w:val="20"/>
                <w:szCs w:val="20"/>
                <w:color w:val="auto"/>
              </w:rPr>
            </w:pPr>
            <w:r>
              <w:rPr>
                <w:rFonts w:ascii="Arial" w:cs="Arial" w:eastAsia="Arial" w:hAnsi="Arial"/>
                <w:sz w:val="13"/>
                <w:szCs w:val="13"/>
                <w:b w:val="1"/>
                <w:bCs w:val="1"/>
                <w:color w:val="479EFF"/>
                <w:w w:val="96"/>
              </w:rPr>
              <w:t>Termination</w:t>
            </w:r>
          </w:p>
        </w:tc>
      </w:tr>
      <w:tr>
        <w:trPr>
          <w:trHeight w:val="146"/>
        </w:trPr>
        <w:tc>
          <w:tcPr>
            <w:tcW w:w="5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Without Cause or</w:t>
            </w:r>
          </w:p>
        </w:tc>
      </w:tr>
      <w:tr>
        <w:trPr>
          <w:trHeight w:val="146"/>
        </w:trPr>
        <w:tc>
          <w:tcPr>
            <w:tcW w:w="5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ind w:left="37"/>
              <w:spacing w:after="0" w:line="146" w:lineRule="exact"/>
              <w:rPr>
                <w:sz w:val="20"/>
                <w:szCs w:val="20"/>
                <w:color w:val="auto"/>
              </w:rPr>
            </w:pPr>
            <w:r>
              <w:rPr>
                <w:rFonts w:ascii="Arial" w:cs="Arial" w:eastAsia="Arial" w:hAnsi="Arial"/>
                <w:sz w:val="13"/>
                <w:szCs w:val="13"/>
                <w:b w:val="1"/>
                <w:bCs w:val="1"/>
                <w:color w:val="479EFF"/>
                <w:w w:val="96"/>
              </w:rPr>
              <w:t>for Good Reason</w:t>
            </w:r>
          </w:p>
        </w:tc>
      </w:tr>
      <w:tr>
        <w:trPr>
          <w:trHeight w:val="146"/>
        </w:trPr>
        <w:tc>
          <w:tcPr>
            <w:tcW w:w="5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Following Change</w:t>
            </w:r>
          </w:p>
        </w:tc>
      </w:tr>
      <w:tr>
        <w:trPr>
          <w:trHeight w:val="146"/>
        </w:trPr>
        <w:tc>
          <w:tcPr>
            <w:tcW w:w="5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7"/>
              </w:rPr>
              <w:t>in Control or</w:t>
            </w:r>
          </w:p>
        </w:tc>
      </w:tr>
      <w:tr>
        <w:trPr>
          <w:trHeight w:val="146"/>
        </w:trPr>
        <w:tc>
          <w:tcPr>
            <w:tcW w:w="5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Termination</w:t>
            </w:r>
          </w:p>
        </w:tc>
      </w:tr>
      <w:tr>
        <w:trPr>
          <w:trHeight w:val="146"/>
        </w:trPr>
        <w:tc>
          <w:tcPr>
            <w:tcW w:w="5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6"/>
              </w:rPr>
              <w:t>Without Cause</w:t>
            </w:r>
          </w:p>
        </w:tc>
      </w:tr>
      <w:tr>
        <w:trPr>
          <w:trHeight w:val="146"/>
        </w:trPr>
        <w:tc>
          <w:tcPr>
            <w:tcW w:w="52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Death Prior to</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9"/>
              </w:rPr>
              <w:t>Death After</w:t>
            </w:r>
          </w:p>
        </w:tc>
        <w:tc>
          <w:tcPr>
            <w:tcW w:w="11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Termination for</w:t>
            </w: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8"/>
              </w:rPr>
              <w:t>in Specific</w:t>
            </w:r>
          </w:p>
        </w:tc>
      </w:tr>
      <w:tr>
        <w:trPr>
          <w:trHeight w:val="146"/>
        </w:trPr>
        <w:tc>
          <w:tcPr>
            <w:tcW w:w="52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5"/>
              </w:rPr>
              <w:t>a Change</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9"/>
              </w:rPr>
              <w:t>a Change</w:t>
            </w:r>
          </w:p>
        </w:tc>
        <w:tc>
          <w:tcPr>
            <w:tcW w:w="11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8"/>
              </w:rPr>
              <w:t>Good Reason or</w:t>
            </w: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Change</w:t>
            </w:r>
          </w:p>
        </w:tc>
        <w:tc>
          <w:tcPr>
            <w:tcW w:w="840" w:type="dxa"/>
            <w:vAlign w:val="bottom"/>
          </w:tcPr>
          <w:p>
            <w:pPr>
              <w:spacing w:after="0"/>
              <w:rPr>
                <w:sz w:val="12"/>
                <w:szCs w:val="12"/>
                <w:color w:val="auto"/>
              </w:rPr>
            </w:pPr>
          </w:p>
        </w:tc>
        <w:tc>
          <w:tcPr>
            <w:tcW w:w="1200" w:type="dxa"/>
            <w:vAlign w:val="bottom"/>
          </w:tcPr>
          <w:p>
            <w:pPr>
              <w:jc w:val="center"/>
              <w:ind w:left="17"/>
              <w:spacing w:after="0" w:line="146" w:lineRule="exact"/>
              <w:rPr>
                <w:sz w:val="20"/>
                <w:szCs w:val="20"/>
                <w:color w:val="auto"/>
              </w:rPr>
            </w:pPr>
            <w:r>
              <w:rPr>
                <w:rFonts w:ascii="Arial" w:cs="Arial" w:eastAsia="Arial" w:hAnsi="Arial"/>
                <w:sz w:val="13"/>
                <w:szCs w:val="13"/>
                <w:b w:val="1"/>
                <w:bCs w:val="1"/>
                <w:color w:val="479EFF"/>
                <w:w w:val="97"/>
              </w:rPr>
              <w:t>Contemplation of</w:t>
            </w:r>
          </w:p>
        </w:tc>
      </w:tr>
      <w:tr>
        <w:trPr>
          <w:trHeight w:val="146"/>
        </w:trPr>
        <w:tc>
          <w:tcPr>
            <w:tcW w:w="520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4"/>
              </w:rPr>
              <w:t>in Control</w:t>
            </w:r>
          </w:p>
        </w:tc>
        <w:tc>
          <w:tcPr>
            <w:tcW w:w="11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Without Cause</w:t>
            </w: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840" w:type="dxa"/>
            <w:vAlign w:val="bottom"/>
          </w:tcPr>
          <w:p>
            <w:pPr>
              <w:ind w:left="80"/>
              <w:spacing w:after="0" w:line="146" w:lineRule="exact"/>
              <w:rPr>
                <w:sz w:val="20"/>
                <w:szCs w:val="20"/>
                <w:color w:val="auto"/>
              </w:rPr>
            </w:pPr>
            <w:r>
              <w:rPr>
                <w:rFonts w:ascii="Arial" w:cs="Arial" w:eastAsia="Arial" w:hAnsi="Arial"/>
                <w:sz w:val="13"/>
                <w:szCs w:val="13"/>
                <w:b w:val="1"/>
                <w:bCs w:val="1"/>
                <w:color w:val="479EFF"/>
              </w:rPr>
              <w:t>Retirement</w:t>
            </w:r>
          </w:p>
        </w:tc>
        <w:tc>
          <w:tcPr>
            <w:tcW w:w="1200" w:type="dxa"/>
            <w:vAlign w:val="bottom"/>
          </w:tcPr>
          <w:p>
            <w:pPr>
              <w:jc w:val="center"/>
              <w:ind w:left="37"/>
              <w:spacing w:after="0" w:line="146" w:lineRule="exact"/>
              <w:rPr>
                <w:sz w:val="20"/>
                <w:szCs w:val="20"/>
                <w:color w:val="auto"/>
              </w:rPr>
            </w:pPr>
            <w:r>
              <w:rPr>
                <w:rFonts w:ascii="Arial" w:cs="Arial" w:eastAsia="Arial" w:hAnsi="Arial"/>
                <w:sz w:val="13"/>
                <w:szCs w:val="13"/>
                <w:b w:val="1"/>
                <w:bCs w:val="1"/>
                <w:color w:val="479EFF"/>
                <w:w w:val="97"/>
              </w:rPr>
              <w:t>Change in Control</w:t>
            </w:r>
          </w:p>
        </w:tc>
      </w:tr>
      <w:tr>
        <w:trPr>
          <w:trHeight w:val="169"/>
        </w:trPr>
        <w:tc>
          <w:tcPr>
            <w:tcW w:w="5200" w:type="dxa"/>
            <w:vAlign w:val="bottom"/>
            <w:tcBorders>
              <w:bottom w:val="single" w:sz="8" w:color="479EFF"/>
            </w:tcBorders>
          </w:tcPr>
          <w:p>
            <w:pPr>
              <w:spacing w:after="0"/>
              <w:rPr>
                <w:sz w:val="20"/>
                <w:szCs w:val="20"/>
                <w:color w:val="auto"/>
              </w:rPr>
            </w:pPr>
            <w:r>
              <w:rPr>
                <w:rFonts w:ascii="Arial" w:cs="Arial" w:eastAsia="Arial" w:hAnsi="Arial"/>
                <w:sz w:val="13"/>
                <w:szCs w:val="13"/>
                <w:b w:val="1"/>
                <w:bCs w:val="1"/>
                <w:color w:val="479EFF"/>
              </w:rPr>
              <w:t>Payments upon Termination</w:t>
            </w:r>
          </w:p>
        </w:tc>
        <w:tc>
          <w:tcPr>
            <w:tcW w:w="102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88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w w:val="87"/>
              </w:rPr>
              <w:t>($)</w:t>
            </w:r>
          </w:p>
        </w:tc>
        <w:tc>
          <w:tcPr>
            <w:tcW w:w="118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82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84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1200" w:type="dxa"/>
            <w:vAlign w:val="bottom"/>
            <w:tcBorders>
              <w:bottom w:val="single" w:sz="8" w:color="479EFF"/>
            </w:tcBorders>
          </w:tcPr>
          <w:p>
            <w:pPr>
              <w:jc w:val="center"/>
              <w:ind w:left="17"/>
              <w:spacing w:after="0"/>
              <w:rPr>
                <w:sz w:val="20"/>
                <w:szCs w:val="20"/>
                <w:color w:val="auto"/>
              </w:rPr>
            </w:pPr>
            <w:r>
              <w:rPr>
                <w:rFonts w:ascii="Arial" w:cs="Arial" w:eastAsia="Arial" w:hAnsi="Arial"/>
                <w:sz w:val="13"/>
                <w:szCs w:val="13"/>
                <w:b w:val="1"/>
                <w:bCs w:val="1"/>
                <w:color w:val="479EFF"/>
              </w:rPr>
              <w:t>($)</w:t>
            </w:r>
          </w:p>
        </w:tc>
      </w:tr>
      <w:tr>
        <w:trPr>
          <w:trHeight w:val="146"/>
        </w:trPr>
        <w:tc>
          <w:tcPr>
            <w:tcW w:w="520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Base salary payout</w:t>
            </w:r>
          </w:p>
        </w:tc>
        <w:tc>
          <w:tcPr>
            <w:tcW w:w="102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right w:val="single" w:sz="8" w:color="auto"/>
            </w:tcBorders>
          </w:tcPr>
          <w:p>
            <w:pPr>
              <w:jc w:val="right"/>
              <w:ind w:right="37"/>
              <w:spacing w:after="0" w:line="146"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right w:val="single" w:sz="8" w:color="auto"/>
            </w:tcBorders>
          </w:tcPr>
          <w:p>
            <w:pPr>
              <w:jc w:val="right"/>
              <w:ind w:right="297"/>
              <w:spacing w:after="0" w:line="146" w:lineRule="exact"/>
              <w:rPr>
                <w:sz w:val="20"/>
                <w:szCs w:val="20"/>
                <w:color w:val="auto"/>
              </w:rPr>
            </w:pPr>
            <w:r>
              <w:rPr>
                <w:rFonts w:ascii="Arial" w:cs="Arial" w:eastAsia="Arial" w:hAnsi="Arial"/>
                <w:sz w:val="13"/>
                <w:szCs w:val="13"/>
                <w:color w:val="auto"/>
              </w:rPr>
              <w:t>450,000</w:t>
            </w:r>
          </w:p>
        </w:tc>
        <w:tc>
          <w:tcPr>
            <w:tcW w:w="82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7"/>
              <w:spacing w:after="0" w:line="146" w:lineRule="exact"/>
              <w:rPr>
                <w:sz w:val="20"/>
                <w:szCs w:val="20"/>
                <w:color w:val="auto"/>
              </w:rPr>
            </w:pPr>
            <w:r>
              <w:rPr>
                <w:rFonts w:ascii="Arial" w:cs="Arial" w:eastAsia="Arial" w:hAnsi="Arial"/>
                <w:sz w:val="13"/>
                <w:szCs w:val="13"/>
                <w:color w:val="auto"/>
              </w:rPr>
              <w:t>450,000</w:t>
            </w:r>
          </w:p>
        </w:tc>
      </w:tr>
      <w:tr>
        <w:trPr>
          <w:trHeight w:val="136"/>
        </w:trPr>
        <w:tc>
          <w:tcPr>
            <w:tcW w:w="52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Restricted stock units</w:t>
            </w:r>
          </w:p>
        </w:tc>
        <w:tc>
          <w:tcPr>
            <w:tcW w:w="102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1,414,861</w:t>
            </w:r>
          </w:p>
        </w:tc>
        <w:tc>
          <w:tcPr>
            <w:tcW w:w="880" w:type="dxa"/>
            <w:vAlign w:val="bottom"/>
            <w:tcBorders>
              <w:bottom w:val="single" w:sz="8" w:color="auto"/>
              <w:right w:val="single" w:sz="8" w:color="auto"/>
            </w:tcBorders>
          </w:tcPr>
          <w:p>
            <w:pPr>
              <w:jc w:val="right"/>
              <w:ind w:right="37"/>
              <w:spacing w:after="0" w:line="136" w:lineRule="exact"/>
              <w:rPr>
                <w:sz w:val="20"/>
                <w:szCs w:val="20"/>
                <w:color w:val="auto"/>
              </w:rPr>
            </w:pPr>
            <w:r>
              <w:rPr>
                <w:rFonts w:ascii="Arial" w:cs="Arial" w:eastAsia="Arial" w:hAnsi="Arial"/>
                <w:sz w:val="13"/>
                <w:szCs w:val="13"/>
                <w:color w:val="auto"/>
              </w:rPr>
              <w:t>1,414,861</w:t>
            </w:r>
          </w:p>
        </w:tc>
        <w:tc>
          <w:tcPr>
            <w:tcW w:w="1180" w:type="dxa"/>
            <w:vAlign w:val="bottom"/>
            <w:tcBorders>
              <w:bottom w:val="single" w:sz="8" w:color="auto"/>
              <w:right w:val="single" w:sz="8" w:color="auto"/>
            </w:tcBorders>
          </w:tcPr>
          <w:p>
            <w:pPr>
              <w:jc w:val="right"/>
              <w:ind w:right="297"/>
              <w:spacing w:after="0" w:line="136"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568,924</w:t>
            </w:r>
          </w:p>
        </w:tc>
        <w:tc>
          <w:tcPr>
            <w:tcW w:w="84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74,436</w:t>
            </w:r>
          </w:p>
        </w:tc>
        <w:tc>
          <w:tcPr>
            <w:tcW w:w="1200" w:type="dxa"/>
            <w:vAlign w:val="bottom"/>
            <w:tcBorders>
              <w:bottom w:val="single" w:sz="8" w:color="auto"/>
            </w:tcBorders>
          </w:tcPr>
          <w:p>
            <w:pPr>
              <w:jc w:val="right"/>
              <w:ind w:right="217"/>
              <w:spacing w:after="0" w:line="136" w:lineRule="exact"/>
              <w:rPr>
                <w:sz w:val="20"/>
                <w:szCs w:val="20"/>
                <w:color w:val="auto"/>
              </w:rPr>
            </w:pPr>
            <w:r>
              <w:rPr>
                <w:rFonts w:ascii="Arial" w:cs="Arial" w:eastAsia="Arial" w:hAnsi="Arial"/>
                <w:sz w:val="13"/>
                <w:szCs w:val="13"/>
                <w:color w:val="auto"/>
              </w:rPr>
              <w:t>1,414,861</w:t>
            </w:r>
          </w:p>
        </w:tc>
      </w:tr>
      <w:tr>
        <w:trPr>
          <w:trHeight w:val="145"/>
        </w:trPr>
        <w:tc>
          <w:tcPr>
            <w:tcW w:w="520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color w:val="auto"/>
              </w:rPr>
              <w:t>Performance restricted stock units</w:t>
            </w:r>
          </w:p>
        </w:tc>
        <w:tc>
          <w:tcPr>
            <w:tcW w:w="1020" w:type="dxa"/>
            <w:vAlign w:val="bottom"/>
            <w:tcBorders>
              <w:bottom w:val="single" w:sz="8" w:color="479EFF"/>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548,944</w:t>
            </w:r>
          </w:p>
        </w:tc>
        <w:tc>
          <w:tcPr>
            <w:tcW w:w="880" w:type="dxa"/>
            <w:vAlign w:val="bottom"/>
            <w:tcBorders>
              <w:bottom w:val="single" w:sz="8" w:color="479EFF"/>
              <w:right w:val="single" w:sz="8" w:color="auto"/>
            </w:tcBorders>
          </w:tcPr>
          <w:p>
            <w:pPr>
              <w:jc w:val="right"/>
              <w:ind w:right="37"/>
              <w:spacing w:after="0" w:line="136" w:lineRule="exact"/>
              <w:rPr>
                <w:sz w:val="20"/>
                <w:szCs w:val="20"/>
                <w:color w:val="auto"/>
              </w:rPr>
            </w:pPr>
            <w:r>
              <w:rPr>
                <w:rFonts w:ascii="Arial" w:cs="Arial" w:eastAsia="Arial" w:hAnsi="Arial"/>
                <w:sz w:val="13"/>
                <w:szCs w:val="13"/>
                <w:color w:val="auto"/>
              </w:rPr>
              <w:t>1,281,468</w:t>
            </w:r>
          </w:p>
        </w:tc>
        <w:tc>
          <w:tcPr>
            <w:tcW w:w="1180" w:type="dxa"/>
            <w:vAlign w:val="bottom"/>
            <w:tcBorders>
              <w:bottom w:val="single" w:sz="8" w:color="479EFF"/>
              <w:right w:val="single" w:sz="8" w:color="auto"/>
            </w:tcBorders>
          </w:tcPr>
          <w:p>
            <w:pPr>
              <w:jc w:val="right"/>
              <w:ind w:right="297"/>
              <w:spacing w:after="0" w:line="136"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479EFF"/>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1,082,993</w:t>
            </w:r>
          </w:p>
        </w:tc>
        <w:tc>
          <w:tcPr>
            <w:tcW w:w="840" w:type="dxa"/>
            <w:vAlign w:val="bottom"/>
            <w:tcBorders>
              <w:bottom w:val="single" w:sz="8" w:color="479EFF"/>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99,247</w:t>
            </w:r>
          </w:p>
        </w:tc>
        <w:tc>
          <w:tcPr>
            <w:tcW w:w="1200" w:type="dxa"/>
            <w:vAlign w:val="bottom"/>
            <w:tcBorders>
              <w:bottom w:val="single" w:sz="8" w:color="479EFF"/>
            </w:tcBorders>
          </w:tcPr>
          <w:p>
            <w:pPr>
              <w:jc w:val="right"/>
              <w:ind w:right="217"/>
              <w:spacing w:after="0" w:line="136" w:lineRule="exact"/>
              <w:rPr>
                <w:sz w:val="20"/>
                <w:szCs w:val="20"/>
                <w:color w:val="auto"/>
              </w:rPr>
            </w:pPr>
            <w:r>
              <w:rPr>
                <w:rFonts w:ascii="Arial" w:cs="Arial" w:eastAsia="Arial" w:hAnsi="Arial"/>
                <w:sz w:val="13"/>
                <w:szCs w:val="13"/>
                <w:color w:val="auto"/>
              </w:rPr>
              <w:t>1,281,468</w:t>
            </w:r>
          </w:p>
        </w:tc>
      </w:tr>
      <w:tr>
        <w:trPr>
          <w:trHeight w:val="310"/>
        </w:trPr>
        <w:tc>
          <w:tcPr>
            <w:tcW w:w="5200" w:type="dxa"/>
            <w:vAlign w:val="bottom"/>
          </w:tcPr>
          <w:p>
            <w:pPr>
              <w:spacing w:after="0"/>
              <w:rPr>
                <w:sz w:val="20"/>
                <w:szCs w:val="20"/>
                <w:color w:val="auto"/>
              </w:rPr>
            </w:pPr>
            <w:r>
              <w:rPr>
                <w:rFonts w:ascii="Arial" w:cs="Arial" w:eastAsia="Arial" w:hAnsi="Arial"/>
                <w:sz w:val="13"/>
                <w:szCs w:val="13"/>
                <w:b w:val="1"/>
                <w:bCs w:val="1"/>
                <w:color w:val="FF4000"/>
              </w:rPr>
              <w:t>Vikas Bhalla</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3"/>
          <w:szCs w:val="13"/>
          <w:color w:val="auto"/>
        </w:rPr>
        <w:t>Either Mr. Bhalla or we may terminate Mr. Bhalla's employment at any time with three months' notice (or pay three months' salary in lieu of notice). If Mr. Bhalla is terminated by us without "cause" (other than due to disability) at any time following a change in control or in specific contemplation of a change in control, or if Mr. Bhalla resigns for "good reason" after at least six months following a "change in control" (as defined in the 2015 Plan), Mr. Bhalla will receive a cash severance payment equal to twelve months' of his then-current annual fixed compensation, payable in twelve equal monthly installments.</w:t>
      </w:r>
    </w:p>
    <w:p>
      <w:pPr>
        <w:spacing w:after="0" w:line="151" w:lineRule="exact"/>
        <w:rPr>
          <w:sz w:val="20"/>
          <w:szCs w:val="20"/>
          <w:color w:val="auto"/>
        </w:rPr>
      </w:pPr>
    </w:p>
    <w:p>
      <w:pPr>
        <w:ind w:right="140"/>
        <w:spacing w:after="0" w:line="239" w:lineRule="auto"/>
        <w:rPr>
          <w:sz w:val="20"/>
          <w:szCs w:val="20"/>
          <w:color w:val="auto"/>
        </w:rPr>
      </w:pPr>
      <w:r>
        <w:rPr>
          <w:rFonts w:ascii="Arial" w:cs="Arial" w:eastAsia="Arial" w:hAnsi="Arial"/>
          <w:sz w:val="13"/>
          <w:szCs w:val="13"/>
          <w:color w:val="auto"/>
        </w:rPr>
        <w:t>On a "change in control" (as defined in the 2018 Plan) or death, Mr. Bhalla's outstanding equity awards will vest in the same manner as described for Mr. Nicolelli's outstanding equity awards beginning on Page 96.</w:t>
      </w:r>
    </w:p>
    <w:p>
      <w:pPr>
        <w:spacing w:after="0" w:line="150"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Mr. Bhalla's severance payments and termination-related equity acceleration are subject to his execution of a waiver and release of claims against us. Mr. Bhalla is subject to confidentiality restrictions at all times, as well as noncompetition and nonsolicitation restrictions for two years following termination of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192405</wp:posOffset>
            </wp:positionV>
            <wp:extent cx="1408430" cy="3333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860"/>
        <w:spacing w:after="0"/>
        <w:rPr>
          <w:sz w:val="20"/>
          <w:szCs w:val="20"/>
          <w:color w:val="auto"/>
        </w:rPr>
      </w:pPr>
      <w:r>
        <w:rPr>
          <w:rFonts w:ascii="Arial" w:cs="Arial" w:eastAsia="Arial" w:hAnsi="Arial"/>
          <w:sz w:val="13"/>
          <w:szCs w:val="13"/>
          <w:color w:val="FFFFFE"/>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00" w:name="page101"/>
    <w:bookmarkEnd w:id="10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00" w:type="dxa"/>
            <w:vAlign w:val="bottom"/>
          </w:tcPr>
          <w:p>
            <w:pPr>
              <w:spacing w:after="0"/>
              <w:rPr>
                <w:sz w:val="20"/>
                <w:szCs w:val="20"/>
                <w:color w:val="auto"/>
              </w:rPr>
            </w:pPr>
            <w:r>
              <w:rPr>
                <w:rFonts w:ascii="Arial" w:cs="Arial" w:eastAsia="Arial" w:hAnsi="Arial"/>
                <w:sz w:val="10"/>
                <w:szCs w:val="10"/>
                <w:b w:val="1"/>
                <w:bCs w:val="1"/>
                <w:color w:val="CCD9D9"/>
              </w:rPr>
              <w:t>EXECUTIVE COMPENSATION</w:t>
            </w: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300"/>
        </w:trPr>
        <w:tc>
          <w:tcPr>
            <w:tcW w:w="5800" w:type="dxa"/>
            <w:vAlign w:val="bottom"/>
          </w:tcPr>
          <w:p>
            <w:pPr>
              <w:spacing w:after="0"/>
              <w:rPr>
                <w:sz w:val="20"/>
                <w:szCs w:val="20"/>
                <w:color w:val="auto"/>
              </w:rPr>
            </w:pPr>
            <w:r>
              <w:rPr>
                <w:rFonts w:ascii="Arial" w:cs="Arial" w:eastAsia="Arial" w:hAnsi="Arial"/>
                <w:sz w:val="13"/>
                <w:szCs w:val="13"/>
                <w:b w:val="1"/>
                <w:bCs w:val="1"/>
                <w:color w:val="479EFF"/>
              </w:rPr>
              <w:t>Indicative Payouts for Vikas Bhalla</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9"/>
        </w:trPr>
        <w:tc>
          <w:tcPr>
            <w:tcW w:w="5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jc w:val="center"/>
              <w:ind w:left="57"/>
              <w:spacing w:after="0"/>
              <w:rPr>
                <w:sz w:val="20"/>
                <w:szCs w:val="20"/>
                <w:color w:val="auto"/>
              </w:rPr>
            </w:pPr>
            <w:r>
              <w:rPr>
                <w:rFonts w:ascii="Arial" w:cs="Arial" w:eastAsia="Arial" w:hAnsi="Arial"/>
                <w:sz w:val="13"/>
                <w:szCs w:val="13"/>
                <w:b w:val="1"/>
                <w:bCs w:val="1"/>
                <w:color w:val="479EFF"/>
                <w:w w:val="96"/>
              </w:rPr>
              <w:t>Termination</w:t>
            </w:r>
          </w:p>
        </w:tc>
      </w:tr>
      <w:tr>
        <w:trPr>
          <w:trHeight w:val="146"/>
        </w:trPr>
        <w:tc>
          <w:tcPr>
            <w:tcW w:w="5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6"/>
              </w:rPr>
              <w:t>Without Cause or</w:t>
            </w:r>
          </w:p>
        </w:tc>
      </w:tr>
      <w:tr>
        <w:trPr>
          <w:trHeight w:val="146"/>
        </w:trPr>
        <w:tc>
          <w:tcPr>
            <w:tcW w:w="5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77"/>
              <w:spacing w:after="0" w:line="146" w:lineRule="exact"/>
              <w:rPr>
                <w:sz w:val="20"/>
                <w:szCs w:val="20"/>
                <w:color w:val="auto"/>
              </w:rPr>
            </w:pPr>
            <w:r>
              <w:rPr>
                <w:rFonts w:ascii="Arial" w:cs="Arial" w:eastAsia="Arial" w:hAnsi="Arial"/>
                <w:sz w:val="13"/>
                <w:szCs w:val="13"/>
                <w:b w:val="1"/>
                <w:bCs w:val="1"/>
                <w:color w:val="479EFF"/>
                <w:w w:val="96"/>
              </w:rPr>
              <w:t>for Good Reason</w:t>
            </w:r>
          </w:p>
        </w:tc>
      </w:tr>
      <w:tr>
        <w:trPr>
          <w:trHeight w:val="146"/>
        </w:trPr>
        <w:tc>
          <w:tcPr>
            <w:tcW w:w="5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6"/>
              </w:rPr>
              <w:t>Following Change</w:t>
            </w:r>
          </w:p>
        </w:tc>
      </w:tr>
      <w:tr>
        <w:trPr>
          <w:trHeight w:val="146"/>
        </w:trPr>
        <w:tc>
          <w:tcPr>
            <w:tcW w:w="5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7"/>
              </w:rPr>
              <w:t>in Control or</w:t>
            </w:r>
          </w:p>
        </w:tc>
      </w:tr>
      <w:tr>
        <w:trPr>
          <w:trHeight w:val="146"/>
        </w:trPr>
        <w:tc>
          <w:tcPr>
            <w:tcW w:w="5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6"/>
              </w:rPr>
              <w:t>Termination</w:t>
            </w:r>
          </w:p>
        </w:tc>
      </w:tr>
      <w:tr>
        <w:trPr>
          <w:trHeight w:val="146"/>
        </w:trPr>
        <w:tc>
          <w:tcPr>
            <w:tcW w:w="5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6"/>
              </w:rPr>
              <w:t>Without Cause</w:t>
            </w:r>
          </w:p>
        </w:tc>
      </w:tr>
      <w:tr>
        <w:trPr>
          <w:trHeight w:val="146"/>
        </w:trPr>
        <w:tc>
          <w:tcPr>
            <w:tcW w:w="580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5"/>
              </w:rPr>
              <w:t>Death Prior to</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9"/>
              </w:rPr>
              <w:t>Death After</w:t>
            </w: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4"/>
              </w:rPr>
              <w:t>Termination for</w:t>
            </w:r>
          </w:p>
        </w:tc>
        <w:tc>
          <w:tcPr>
            <w:tcW w:w="860" w:type="dxa"/>
            <w:vAlign w:val="bottom"/>
          </w:tcPr>
          <w:p>
            <w:pPr>
              <w:spacing w:after="0"/>
              <w:rPr>
                <w:sz w:val="12"/>
                <w:szCs w:val="12"/>
                <w:color w:val="auto"/>
              </w:rPr>
            </w:pP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8"/>
              </w:rPr>
              <w:t>in Specific</w:t>
            </w:r>
          </w:p>
        </w:tc>
      </w:tr>
      <w:tr>
        <w:trPr>
          <w:trHeight w:val="146"/>
        </w:trPr>
        <w:tc>
          <w:tcPr>
            <w:tcW w:w="580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9"/>
              </w:rPr>
              <w:t>a Change</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9"/>
              </w:rPr>
              <w:t>a Change</w:t>
            </w: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Good Reason or</w:t>
            </w: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Change</w:t>
            </w:r>
          </w:p>
        </w:tc>
        <w:tc>
          <w:tcPr>
            <w:tcW w:w="124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7"/>
              </w:rPr>
              <w:t>Contemplation of</w:t>
            </w:r>
          </w:p>
        </w:tc>
      </w:tr>
      <w:tr>
        <w:trPr>
          <w:trHeight w:val="146"/>
        </w:trPr>
        <w:tc>
          <w:tcPr>
            <w:tcW w:w="580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4"/>
              </w:rPr>
              <w:t>in Control</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4"/>
              </w:rPr>
              <w:t>in Control</w:t>
            </w:r>
          </w:p>
        </w:tc>
        <w:tc>
          <w:tcPr>
            <w:tcW w:w="124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8"/>
              </w:rPr>
              <w:t>Without Cause</w:t>
            </w: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4"/>
              </w:rPr>
              <w:t>in Control</w:t>
            </w:r>
          </w:p>
        </w:tc>
        <w:tc>
          <w:tcPr>
            <w:tcW w:w="1240" w:type="dxa"/>
            <w:vAlign w:val="bottom"/>
          </w:tcPr>
          <w:p>
            <w:pPr>
              <w:jc w:val="center"/>
              <w:ind w:left="77"/>
              <w:spacing w:after="0" w:line="146" w:lineRule="exact"/>
              <w:rPr>
                <w:sz w:val="20"/>
                <w:szCs w:val="20"/>
                <w:color w:val="auto"/>
              </w:rPr>
            </w:pPr>
            <w:r>
              <w:rPr>
                <w:rFonts w:ascii="Arial" w:cs="Arial" w:eastAsia="Arial" w:hAnsi="Arial"/>
                <w:sz w:val="13"/>
                <w:szCs w:val="13"/>
                <w:b w:val="1"/>
                <w:bCs w:val="1"/>
                <w:color w:val="479EFF"/>
                <w:w w:val="97"/>
              </w:rPr>
              <w:t>Change in Control</w:t>
            </w:r>
          </w:p>
        </w:tc>
      </w:tr>
      <w:tr>
        <w:trPr>
          <w:trHeight w:val="169"/>
        </w:trPr>
        <w:tc>
          <w:tcPr>
            <w:tcW w:w="5800" w:type="dxa"/>
            <w:vAlign w:val="bottom"/>
            <w:tcBorders>
              <w:bottom w:val="single" w:sz="8" w:color="479EFF"/>
            </w:tcBorders>
          </w:tcPr>
          <w:p>
            <w:pPr>
              <w:spacing w:after="0"/>
              <w:rPr>
                <w:sz w:val="20"/>
                <w:szCs w:val="20"/>
                <w:color w:val="auto"/>
              </w:rPr>
            </w:pPr>
            <w:r>
              <w:rPr>
                <w:rFonts w:ascii="Arial" w:cs="Arial" w:eastAsia="Arial" w:hAnsi="Arial"/>
                <w:sz w:val="13"/>
                <w:szCs w:val="13"/>
                <w:b w:val="1"/>
                <w:bCs w:val="1"/>
                <w:color w:val="479EFF"/>
              </w:rPr>
              <w:t>Payments upon Termination</w:t>
            </w:r>
          </w:p>
        </w:tc>
        <w:tc>
          <w:tcPr>
            <w:tcW w:w="108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w w:val="87"/>
              </w:rPr>
              <w:t>($)</w:t>
            </w:r>
          </w:p>
        </w:tc>
        <w:tc>
          <w:tcPr>
            <w:tcW w:w="92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w w:val="87"/>
              </w:rPr>
              <w:t>($)</w:t>
            </w:r>
          </w:p>
        </w:tc>
        <w:tc>
          <w:tcPr>
            <w:tcW w:w="124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w w:val="87"/>
              </w:rPr>
              <w:t>($)</w:t>
            </w:r>
          </w:p>
        </w:tc>
        <w:tc>
          <w:tcPr>
            <w:tcW w:w="86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w w:val="87"/>
              </w:rPr>
              <w:t>($)</w:t>
            </w:r>
          </w:p>
        </w:tc>
        <w:tc>
          <w:tcPr>
            <w:tcW w:w="1240" w:type="dxa"/>
            <w:vAlign w:val="bottom"/>
            <w:tcBorders>
              <w:bottom w:val="single" w:sz="8" w:color="479EFF"/>
            </w:tcBorders>
          </w:tcPr>
          <w:p>
            <w:pPr>
              <w:jc w:val="center"/>
              <w:ind w:left="57"/>
              <w:spacing w:after="0"/>
              <w:rPr>
                <w:sz w:val="20"/>
                <w:szCs w:val="20"/>
                <w:color w:val="auto"/>
              </w:rPr>
            </w:pPr>
            <w:r>
              <w:rPr>
                <w:rFonts w:ascii="Arial" w:cs="Arial" w:eastAsia="Arial" w:hAnsi="Arial"/>
                <w:sz w:val="13"/>
                <w:szCs w:val="13"/>
                <w:b w:val="1"/>
                <w:bCs w:val="1"/>
                <w:color w:val="479EFF"/>
              </w:rPr>
              <w:t>($)</w:t>
            </w:r>
          </w:p>
        </w:tc>
      </w:tr>
      <w:tr>
        <w:trPr>
          <w:trHeight w:val="146"/>
        </w:trPr>
        <w:tc>
          <w:tcPr>
            <w:tcW w:w="580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Base salary payout</w:t>
            </w:r>
          </w:p>
        </w:tc>
        <w:tc>
          <w:tcPr>
            <w:tcW w:w="108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right w:val="single" w:sz="8" w:color="auto"/>
            </w:tcBorders>
          </w:tcPr>
          <w:p>
            <w:pPr>
              <w:jc w:val="right"/>
              <w:ind w:right="37"/>
              <w:spacing w:after="0" w:line="146" w:lineRule="exact"/>
              <w:rPr>
                <w:sz w:val="20"/>
                <w:szCs w:val="20"/>
                <w:color w:val="auto"/>
              </w:rPr>
            </w:pPr>
            <w:r>
              <w:rPr>
                <w:rFonts w:ascii="Arial" w:cs="Arial" w:eastAsia="Arial" w:hAnsi="Arial"/>
                <w:sz w:val="13"/>
                <w:szCs w:val="13"/>
                <w:color w:val="auto"/>
              </w:rPr>
              <w:t>—</w:t>
            </w:r>
          </w:p>
        </w:tc>
        <w:tc>
          <w:tcPr>
            <w:tcW w:w="1240" w:type="dxa"/>
            <w:vAlign w:val="bottom"/>
            <w:tcBorders>
              <w:bottom w:val="single" w:sz="8" w:color="auto"/>
              <w:right w:val="single" w:sz="8" w:color="auto"/>
            </w:tcBorders>
          </w:tcPr>
          <w:p>
            <w:pPr>
              <w:jc w:val="right"/>
              <w:ind w:right="297"/>
              <w:spacing w:after="0" w:line="146" w:lineRule="exact"/>
              <w:rPr>
                <w:sz w:val="20"/>
                <w:szCs w:val="20"/>
                <w:color w:val="auto"/>
              </w:rPr>
            </w:pPr>
            <w:r>
              <w:rPr>
                <w:rFonts w:ascii="Arial" w:cs="Arial" w:eastAsia="Arial" w:hAnsi="Arial"/>
                <w:sz w:val="13"/>
                <w:szCs w:val="13"/>
                <w:color w:val="auto"/>
              </w:rPr>
              <w:t>301,102</w:t>
            </w:r>
          </w:p>
        </w:tc>
        <w:tc>
          <w:tcPr>
            <w:tcW w:w="86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217"/>
              <w:spacing w:after="0" w:line="146" w:lineRule="exact"/>
              <w:rPr>
                <w:sz w:val="20"/>
                <w:szCs w:val="20"/>
                <w:color w:val="auto"/>
              </w:rPr>
            </w:pPr>
            <w:r>
              <w:rPr>
                <w:rFonts w:ascii="Arial" w:cs="Arial" w:eastAsia="Arial" w:hAnsi="Arial"/>
                <w:sz w:val="13"/>
                <w:szCs w:val="13"/>
                <w:color w:val="auto"/>
              </w:rPr>
              <w:t>301,102</w:t>
            </w:r>
          </w:p>
        </w:tc>
      </w:tr>
      <w:tr>
        <w:trPr>
          <w:trHeight w:val="136"/>
        </w:trPr>
        <w:tc>
          <w:tcPr>
            <w:tcW w:w="58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Restricted stock units</w:t>
            </w:r>
          </w:p>
        </w:tc>
        <w:tc>
          <w:tcPr>
            <w:tcW w:w="108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1,541,960</w:t>
            </w:r>
          </w:p>
        </w:tc>
        <w:tc>
          <w:tcPr>
            <w:tcW w:w="920" w:type="dxa"/>
            <w:vAlign w:val="bottom"/>
            <w:tcBorders>
              <w:bottom w:val="single" w:sz="8" w:color="auto"/>
              <w:right w:val="single" w:sz="8" w:color="auto"/>
            </w:tcBorders>
          </w:tcPr>
          <w:p>
            <w:pPr>
              <w:jc w:val="right"/>
              <w:ind w:right="37"/>
              <w:spacing w:after="0" w:line="136" w:lineRule="exact"/>
              <w:rPr>
                <w:sz w:val="20"/>
                <w:szCs w:val="20"/>
                <w:color w:val="auto"/>
              </w:rPr>
            </w:pPr>
            <w:r>
              <w:rPr>
                <w:rFonts w:ascii="Arial" w:cs="Arial" w:eastAsia="Arial" w:hAnsi="Arial"/>
                <w:sz w:val="13"/>
                <w:szCs w:val="13"/>
                <w:color w:val="auto"/>
              </w:rPr>
              <w:t>1,541,960</w:t>
            </w:r>
          </w:p>
        </w:tc>
        <w:tc>
          <w:tcPr>
            <w:tcW w:w="1240" w:type="dxa"/>
            <w:vAlign w:val="bottom"/>
            <w:tcBorders>
              <w:bottom w:val="single" w:sz="8" w:color="auto"/>
              <w:right w:val="single" w:sz="8" w:color="auto"/>
            </w:tcBorders>
          </w:tcPr>
          <w:p>
            <w:pPr>
              <w:jc w:val="right"/>
              <w:ind w:right="297"/>
              <w:spacing w:after="0" w:line="136"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579,586</w:t>
            </w:r>
          </w:p>
        </w:tc>
        <w:tc>
          <w:tcPr>
            <w:tcW w:w="1240" w:type="dxa"/>
            <w:vAlign w:val="bottom"/>
            <w:tcBorders>
              <w:bottom w:val="single" w:sz="8" w:color="auto"/>
            </w:tcBorders>
          </w:tcPr>
          <w:p>
            <w:pPr>
              <w:jc w:val="right"/>
              <w:ind w:right="217"/>
              <w:spacing w:after="0" w:line="136" w:lineRule="exact"/>
              <w:rPr>
                <w:sz w:val="20"/>
                <w:szCs w:val="20"/>
                <w:color w:val="auto"/>
              </w:rPr>
            </w:pPr>
            <w:r>
              <w:rPr>
                <w:rFonts w:ascii="Arial" w:cs="Arial" w:eastAsia="Arial" w:hAnsi="Arial"/>
                <w:sz w:val="13"/>
                <w:szCs w:val="13"/>
                <w:color w:val="auto"/>
              </w:rPr>
              <w:t>1,541,960</w:t>
            </w:r>
          </w:p>
        </w:tc>
      </w:tr>
      <w:tr>
        <w:trPr>
          <w:trHeight w:val="136"/>
        </w:trPr>
        <w:tc>
          <w:tcPr>
            <w:tcW w:w="58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Performance restricted stock units</w:t>
            </w:r>
          </w:p>
        </w:tc>
        <w:tc>
          <w:tcPr>
            <w:tcW w:w="108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623,147</w:t>
            </w:r>
          </w:p>
        </w:tc>
        <w:tc>
          <w:tcPr>
            <w:tcW w:w="920" w:type="dxa"/>
            <w:vAlign w:val="bottom"/>
            <w:tcBorders>
              <w:bottom w:val="single" w:sz="8" w:color="auto"/>
              <w:right w:val="single" w:sz="8" w:color="auto"/>
            </w:tcBorders>
          </w:tcPr>
          <w:p>
            <w:pPr>
              <w:jc w:val="right"/>
              <w:ind w:right="37"/>
              <w:spacing w:after="0" w:line="136" w:lineRule="exact"/>
              <w:rPr>
                <w:sz w:val="20"/>
                <w:szCs w:val="20"/>
                <w:color w:val="auto"/>
              </w:rPr>
            </w:pPr>
            <w:r>
              <w:rPr>
                <w:rFonts w:ascii="Arial" w:cs="Arial" w:eastAsia="Arial" w:hAnsi="Arial"/>
                <w:sz w:val="13"/>
                <w:szCs w:val="13"/>
                <w:color w:val="auto"/>
              </w:rPr>
              <w:t>1,465,355</w:t>
            </w:r>
          </w:p>
        </w:tc>
        <w:tc>
          <w:tcPr>
            <w:tcW w:w="1240" w:type="dxa"/>
            <w:vAlign w:val="bottom"/>
            <w:tcBorders>
              <w:bottom w:val="single" w:sz="8" w:color="auto"/>
              <w:right w:val="single" w:sz="8" w:color="auto"/>
            </w:tcBorders>
          </w:tcPr>
          <w:p>
            <w:pPr>
              <w:jc w:val="right"/>
              <w:ind w:right="297"/>
              <w:spacing w:after="0" w:line="136"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1,229,853</w:t>
            </w:r>
          </w:p>
        </w:tc>
        <w:tc>
          <w:tcPr>
            <w:tcW w:w="1240" w:type="dxa"/>
            <w:vAlign w:val="bottom"/>
            <w:tcBorders>
              <w:bottom w:val="single" w:sz="8" w:color="auto"/>
            </w:tcBorders>
          </w:tcPr>
          <w:p>
            <w:pPr>
              <w:jc w:val="right"/>
              <w:ind w:right="217"/>
              <w:spacing w:after="0" w:line="136" w:lineRule="exact"/>
              <w:rPr>
                <w:sz w:val="20"/>
                <w:szCs w:val="20"/>
                <w:color w:val="auto"/>
              </w:rPr>
            </w:pPr>
            <w:r>
              <w:rPr>
                <w:rFonts w:ascii="Arial" w:cs="Arial" w:eastAsia="Arial" w:hAnsi="Arial"/>
                <w:sz w:val="13"/>
                <w:szCs w:val="13"/>
                <w:color w:val="auto"/>
              </w:rPr>
              <w:t>1,465,355</w:t>
            </w:r>
          </w:p>
        </w:tc>
      </w:tr>
      <w:tr>
        <w:trPr>
          <w:trHeight w:val="174"/>
        </w:trPr>
        <w:tc>
          <w:tcPr>
            <w:tcW w:w="5800" w:type="dxa"/>
            <w:vAlign w:val="bottom"/>
            <w:tcBorders>
              <w:bottom w:val="single" w:sz="8" w:color="479EFF"/>
              <w:right w:val="single" w:sz="8" w:color="auto"/>
            </w:tcBorders>
          </w:tcPr>
          <w:p>
            <w:pPr>
              <w:spacing w:after="0" w:line="165" w:lineRule="exact"/>
              <w:rPr>
                <w:sz w:val="20"/>
                <w:szCs w:val="20"/>
                <w:color w:val="auto"/>
              </w:rPr>
            </w:pPr>
            <w:r>
              <w:rPr>
                <w:rFonts w:ascii="Arial" w:cs="Arial" w:eastAsia="Arial" w:hAnsi="Arial"/>
                <w:sz w:val="12"/>
                <w:szCs w:val="12"/>
                <w:color w:val="auto"/>
              </w:rPr>
              <w:t>Government-required payouts</w:t>
            </w:r>
            <w:r>
              <w:rPr>
                <w:rFonts w:ascii="Arial" w:cs="Arial" w:eastAsia="Arial" w:hAnsi="Arial"/>
                <w:sz w:val="19"/>
                <w:szCs w:val="19"/>
                <w:color w:val="auto"/>
                <w:vertAlign w:val="superscript"/>
              </w:rPr>
              <w:t>(1)</w:t>
            </w:r>
          </w:p>
        </w:tc>
        <w:tc>
          <w:tcPr>
            <w:tcW w:w="1080" w:type="dxa"/>
            <w:vAlign w:val="bottom"/>
            <w:tcBorders>
              <w:bottom w:val="single" w:sz="8" w:color="479EFF"/>
              <w:right w:val="single" w:sz="8" w:color="auto"/>
            </w:tcBorders>
          </w:tcPr>
          <w:p>
            <w:pPr>
              <w:jc w:val="right"/>
              <w:ind w:right="57"/>
              <w:spacing w:after="0"/>
              <w:rPr>
                <w:sz w:val="20"/>
                <w:szCs w:val="20"/>
                <w:color w:val="auto"/>
              </w:rPr>
            </w:pPr>
            <w:r>
              <w:rPr>
                <w:rFonts w:ascii="Arial" w:cs="Arial" w:eastAsia="Arial" w:hAnsi="Arial"/>
                <w:sz w:val="13"/>
                <w:szCs w:val="13"/>
                <w:color w:val="auto"/>
              </w:rPr>
              <w:t>101,332</w:t>
            </w:r>
          </w:p>
        </w:tc>
        <w:tc>
          <w:tcPr>
            <w:tcW w:w="920" w:type="dxa"/>
            <w:vAlign w:val="bottom"/>
            <w:tcBorders>
              <w:bottom w:val="single" w:sz="8" w:color="479EFF"/>
              <w:right w:val="single" w:sz="8" w:color="auto"/>
            </w:tcBorders>
          </w:tcPr>
          <w:p>
            <w:pPr>
              <w:jc w:val="right"/>
              <w:ind w:right="37"/>
              <w:spacing w:after="0"/>
              <w:rPr>
                <w:sz w:val="20"/>
                <w:szCs w:val="20"/>
                <w:color w:val="auto"/>
              </w:rPr>
            </w:pPr>
            <w:r>
              <w:rPr>
                <w:rFonts w:ascii="Arial" w:cs="Arial" w:eastAsia="Arial" w:hAnsi="Arial"/>
                <w:sz w:val="13"/>
                <w:szCs w:val="13"/>
                <w:color w:val="auto"/>
              </w:rPr>
              <w:t>101,332</w:t>
            </w:r>
          </w:p>
        </w:tc>
        <w:tc>
          <w:tcPr>
            <w:tcW w:w="1240" w:type="dxa"/>
            <w:vAlign w:val="bottom"/>
            <w:tcBorders>
              <w:bottom w:val="single" w:sz="8" w:color="479EFF"/>
              <w:right w:val="single" w:sz="8" w:color="auto"/>
            </w:tcBorders>
          </w:tcPr>
          <w:p>
            <w:pPr>
              <w:jc w:val="right"/>
              <w:ind w:right="297"/>
              <w:spacing w:after="0"/>
              <w:rPr>
                <w:sz w:val="20"/>
                <w:szCs w:val="20"/>
                <w:color w:val="auto"/>
              </w:rPr>
            </w:pPr>
            <w:r>
              <w:rPr>
                <w:rFonts w:ascii="Arial" w:cs="Arial" w:eastAsia="Arial" w:hAnsi="Arial"/>
                <w:sz w:val="13"/>
                <w:szCs w:val="13"/>
                <w:color w:val="auto"/>
              </w:rPr>
              <w:t>101,332</w:t>
            </w:r>
          </w:p>
        </w:tc>
        <w:tc>
          <w:tcPr>
            <w:tcW w:w="860" w:type="dxa"/>
            <w:vAlign w:val="bottom"/>
            <w:tcBorders>
              <w:bottom w:val="single" w:sz="8" w:color="479EFF"/>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479EFF"/>
            </w:tcBorders>
          </w:tcPr>
          <w:p>
            <w:pPr>
              <w:jc w:val="right"/>
              <w:ind w:right="217"/>
              <w:spacing w:after="0"/>
              <w:rPr>
                <w:sz w:val="20"/>
                <w:szCs w:val="20"/>
                <w:color w:val="auto"/>
              </w:rPr>
            </w:pPr>
            <w:r>
              <w:rPr>
                <w:rFonts w:ascii="Arial" w:cs="Arial" w:eastAsia="Arial" w:hAnsi="Arial"/>
                <w:sz w:val="13"/>
                <w:szCs w:val="13"/>
                <w:color w:val="auto"/>
              </w:rPr>
              <w:t>101,332</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(1) Represents distributions under the Gratuity Plan, which is due to Mr. Bhalla because he has earned over five years of credited service.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Samuel Meckey</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Either Mr. Meckey or we may terminate Mr. Meckey's employment at any time (though we must give Mr. Meckey 30 days' notice if the termination is without "cause" and Mr. Meckey must give us</w:t>
      </w:r>
    </w:p>
    <w:p>
      <w:pPr>
        <w:spacing w:after="0" w:line="237" w:lineRule="auto"/>
        <w:rPr>
          <w:sz w:val="20"/>
          <w:szCs w:val="20"/>
          <w:color w:val="auto"/>
        </w:rPr>
      </w:pPr>
      <w:r>
        <w:rPr>
          <w:rFonts w:ascii="Arial" w:cs="Arial" w:eastAsia="Arial" w:hAnsi="Arial"/>
          <w:sz w:val="13"/>
          <w:szCs w:val="13"/>
          <w:color w:val="auto"/>
        </w:rPr>
        <w:t>60 days' advance notice upon any resignation). If Mr. Meckey's employment with the Company is terminated by the Company without "cause" (other than due to death or disability) or by Mr. Meckey for "good reason" (both "cause" and "good reason" as defined above), Mr. Meckey will receive a cash severance payment equal to 12 months base salary, with 25% payable as a lump sum payment and the remaining 75% payable in accordance with the Company's regular payroll practices.</w:t>
      </w:r>
    </w:p>
    <w:p>
      <w:pPr>
        <w:spacing w:after="0" w:line="150" w:lineRule="exact"/>
        <w:rPr>
          <w:sz w:val="20"/>
          <w:szCs w:val="20"/>
          <w:color w:val="auto"/>
        </w:rPr>
      </w:pPr>
    </w:p>
    <w:p>
      <w:pPr>
        <w:ind w:right="440"/>
        <w:spacing w:after="0" w:line="239" w:lineRule="auto"/>
        <w:rPr>
          <w:sz w:val="20"/>
          <w:szCs w:val="20"/>
          <w:color w:val="auto"/>
        </w:rPr>
      </w:pPr>
      <w:r>
        <w:rPr>
          <w:rFonts w:ascii="Arial" w:cs="Arial" w:eastAsia="Arial" w:hAnsi="Arial"/>
          <w:sz w:val="13"/>
          <w:szCs w:val="13"/>
          <w:color w:val="auto"/>
        </w:rPr>
        <w:t>On a "change in control" (as defined in the 2018 Plan) or death, Mr. Meckey's outstanding equity awards will vest in the same manner as described for Mr. Nicolelli's outstanding equity awards on Page 96.</w:t>
      </w:r>
    </w:p>
    <w:p>
      <w:pPr>
        <w:spacing w:after="0" w:line="150" w:lineRule="exact"/>
        <w:rPr>
          <w:sz w:val="20"/>
          <w:szCs w:val="20"/>
          <w:color w:val="auto"/>
        </w:rPr>
      </w:pPr>
    </w:p>
    <w:p>
      <w:pPr>
        <w:ind w:right="340"/>
        <w:spacing w:after="0" w:line="239" w:lineRule="auto"/>
        <w:rPr>
          <w:sz w:val="20"/>
          <w:szCs w:val="20"/>
          <w:color w:val="auto"/>
        </w:rPr>
      </w:pPr>
      <w:r>
        <w:rPr>
          <w:rFonts w:ascii="Arial" w:cs="Arial" w:eastAsia="Arial" w:hAnsi="Arial"/>
          <w:sz w:val="13"/>
          <w:szCs w:val="13"/>
          <w:color w:val="auto"/>
        </w:rPr>
        <w:t>Mr. Meckey's severance payments and termination-related equity acceleration are subject to his execution of a release of claims against us. Mr. Meckey is subject to confidentiality restrictions at all times, as well as noncompetition, nondisparagement and nonsolicitation restrictions during his employment and for one year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01" w:name="page102"/>
    <w:bookmarkEnd w:id="10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80" w:type="dxa"/>
            <w:vAlign w:val="bottom"/>
            <w:gridSpan w:val="3"/>
          </w:tcPr>
          <w:p>
            <w:pPr>
              <w:ind w:left="20"/>
              <w:spacing w:after="0"/>
              <w:rPr>
                <w:sz w:val="20"/>
                <w:szCs w:val="20"/>
                <w:color w:val="auto"/>
              </w:rPr>
            </w:pPr>
            <w:r>
              <w:rPr>
                <w:rFonts w:ascii="Arial" w:cs="Arial" w:eastAsia="Arial" w:hAnsi="Arial"/>
                <w:sz w:val="10"/>
                <w:szCs w:val="10"/>
                <w:b w:val="1"/>
                <w:bCs w:val="1"/>
                <w:color w:val="CCD9D9"/>
              </w:rPr>
              <w:t>EXECUTIVE COMPENSATION</w:t>
            </w:r>
          </w:p>
        </w:tc>
      </w:tr>
      <w:tr>
        <w:trPr>
          <w:trHeight w:val="300"/>
        </w:trPr>
        <w:tc>
          <w:tcPr>
            <w:tcW w:w="5820" w:type="dxa"/>
            <w:vAlign w:val="bottom"/>
          </w:tcPr>
          <w:p>
            <w:pPr>
              <w:spacing w:after="0"/>
              <w:rPr>
                <w:sz w:val="20"/>
                <w:szCs w:val="20"/>
                <w:color w:val="auto"/>
              </w:rPr>
            </w:pPr>
            <w:r>
              <w:rPr>
                <w:rFonts w:ascii="Arial" w:cs="Arial" w:eastAsia="Arial" w:hAnsi="Arial"/>
                <w:sz w:val="13"/>
                <w:szCs w:val="13"/>
                <w:b w:val="1"/>
                <w:bCs w:val="1"/>
                <w:color w:val="479EFF"/>
              </w:rPr>
              <w:t>Indicative Payouts for Samuel Meckey</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9"/>
        </w:trPr>
        <w:tc>
          <w:tcPr>
            <w:tcW w:w="5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479EFF"/>
                <w:w w:val="96"/>
              </w:rPr>
              <w:t>Termination</w:t>
            </w:r>
          </w:p>
        </w:tc>
      </w:tr>
      <w:tr>
        <w:trPr>
          <w:trHeight w:val="146"/>
        </w:trPr>
        <w:tc>
          <w:tcPr>
            <w:tcW w:w="5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479EFF"/>
                <w:w w:val="96"/>
              </w:rPr>
              <w:t>Without Cause or</w:t>
            </w:r>
          </w:p>
        </w:tc>
      </w:tr>
      <w:tr>
        <w:trPr>
          <w:trHeight w:val="146"/>
        </w:trPr>
        <w:tc>
          <w:tcPr>
            <w:tcW w:w="5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479EFF"/>
                <w:w w:val="96"/>
              </w:rPr>
              <w:t>for Good Reason</w:t>
            </w:r>
          </w:p>
        </w:tc>
      </w:tr>
      <w:tr>
        <w:trPr>
          <w:trHeight w:val="146"/>
        </w:trPr>
        <w:tc>
          <w:tcPr>
            <w:tcW w:w="5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479EFF"/>
                <w:w w:val="96"/>
              </w:rPr>
              <w:t>Following Change</w:t>
            </w:r>
          </w:p>
        </w:tc>
      </w:tr>
      <w:tr>
        <w:trPr>
          <w:trHeight w:val="146"/>
        </w:trPr>
        <w:tc>
          <w:tcPr>
            <w:tcW w:w="5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479EFF"/>
                <w:w w:val="97"/>
              </w:rPr>
              <w:t>in Control or</w:t>
            </w:r>
          </w:p>
        </w:tc>
      </w:tr>
      <w:tr>
        <w:trPr>
          <w:trHeight w:val="146"/>
        </w:trPr>
        <w:tc>
          <w:tcPr>
            <w:tcW w:w="5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479EFF"/>
                <w:w w:val="96"/>
              </w:rPr>
              <w:t>Termination</w:t>
            </w:r>
          </w:p>
        </w:tc>
      </w:tr>
      <w:tr>
        <w:trPr>
          <w:trHeight w:val="146"/>
        </w:trPr>
        <w:tc>
          <w:tcPr>
            <w:tcW w:w="5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479EFF"/>
                <w:w w:val="96"/>
              </w:rPr>
              <w:t>Without Cause</w:t>
            </w:r>
          </w:p>
        </w:tc>
      </w:tr>
      <w:tr>
        <w:trPr>
          <w:trHeight w:val="146"/>
        </w:trPr>
        <w:tc>
          <w:tcPr>
            <w:tcW w:w="582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Death Prior to</w:t>
            </w: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Death After</w:t>
            </w:r>
          </w:p>
        </w:tc>
        <w:tc>
          <w:tcPr>
            <w:tcW w:w="12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Termination for</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479EFF"/>
                <w:w w:val="98"/>
              </w:rPr>
              <w:t>in Specific</w:t>
            </w:r>
          </w:p>
        </w:tc>
      </w:tr>
      <w:tr>
        <w:trPr>
          <w:trHeight w:val="146"/>
        </w:trPr>
        <w:tc>
          <w:tcPr>
            <w:tcW w:w="582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5"/>
              </w:rPr>
              <w:t>a Change</w:t>
            </w: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5"/>
              </w:rPr>
              <w:t>a Change</w:t>
            </w:r>
          </w:p>
        </w:tc>
        <w:tc>
          <w:tcPr>
            <w:tcW w:w="12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8"/>
              </w:rPr>
              <w:t>Good Reason or</w:t>
            </w:r>
          </w:p>
        </w:tc>
        <w:tc>
          <w:tcPr>
            <w:tcW w:w="780" w:type="dxa"/>
            <w:vAlign w:val="bottom"/>
          </w:tcPr>
          <w:p>
            <w:pPr>
              <w:jc w:val="center"/>
              <w:ind w:left="57"/>
              <w:spacing w:after="0" w:line="146" w:lineRule="exact"/>
              <w:rPr>
                <w:sz w:val="20"/>
                <w:szCs w:val="20"/>
                <w:color w:val="auto"/>
              </w:rPr>
            </w:pPr>
            <w:r>
              <w:rPr>
                <w:rFonts w:ascii="Arial" w:cs="Arial" w:eastAsia="Arial" w:hAnsi="Arial"/>
                <w:sz w:val="13"/>
                <w:szCs w:val="13"/>
                <w:b w:val="1"/>
                <w:bCs w:val="1"/>
                <w:color w:val="479EFF"/>
                <w:w w:val="96"/>
              </w:rPr>
              <w:t>Change</w:t>
            </w:r>
          </w:p>
        </w:tc>
        <w:tc>
          <w:tcPr>
            <w:tcW w:w="80" w:type="dxa"/>
            <w:vAlign w:val="bottom"/>
          </w:tcPr>
          <w:p>
            <w:pPr>
              <w:spacing w:after="0"/>
              <w:rPr>
                <w:sz w:val="12"/>
                <w:szCs w:val="12"/>
                <w:color w:val="auto"/>
              </w:rPr>
            </w:pPr>
          </w:p>
        </w:tc>
        <w:tc>
          <w:tcPr>
            <w:tcW w:w="140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479EFF"/>
                <w:w w:val="97"/>
              </w:rPr>
              <w:t>Contemplation of</w:t>
            </w:r>
          </w:p>
        </w:tc>
      </w:tr>
      <w:tr>
        <w:trPr>
          <w:trHeight w:val="146"/>
        </w:trPr>
        <w:tc>
          <w:tcPr>
            <w:tcW w:w="582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1220" w:type="dxa"/>
            <w:vAlign w:val="bottom"/>
          </w:tcPr>
          <w:p>
            <w:pPr>
              <w:jc w:val="center"/>
              <w:spacing w:after="0" w:line="146" w:lineRule="exact"/>
              <w:rPr>
                <w:sz w:val="20"/>
                <w:szCs w:val="20"/>
                <w:color w:val="auto"/>
              </w:rPr>
            </w:pPr>
            <w:r>
              <w:rPr>
                <w:rFonts w:ascii="Arial" w:cs="Arial" w:eastAsia="Arial" w:hAnsi="Arial"/>
                <w:sz w:val="13"/>
                <w:szCs w:val="13"/>
                <w:b w:val="1"/>
                <w:bCs w:val="1"/>
                <w:color w:val="479EFF"/>
                <w:w w:val="96"/>
              </w:rPr>
              <w:t>Without Cause</w:t>
            </w:r>
          </w:p>
        </w:tc>
        <w:tc>
          <w:tcPr>
            <w:tcW w:w="780" w:type="dxa"/>
            <w:vAlign w:val="bottom"/>
          </w:tcPr>
          <w:p>
            <w:pPr>
              <w:jc w:val="center"/>
              <w:ind w:left="77"/>
              <w:spacing w:after="0" w:line="146" w:lineRule="exact"/>
              <w:rPr>
                <w:sz w:val="20"/>
                <w:szCs w:val="20"/>
                <w:color w:val="auto"/>
              </w:rPr>
            </w:pPr>
            <w:r>
              <w:rPr>
                <w:rFonts w:ascii="Arial" w:cs="Arial" w:eastAsia="Arial" w:hAnsi="Arial"/>
                <w:sz w:val="13"/>
                <w:szCs w:val="13"/>
                <w:b w:val="1"/>
                <w:bCs w:val="1"/>
                <w:color w:val="479EFF"/>
                <w:w w:val="97"/>
              </w:rPr>
              <w:t>in Control</w:t>
            </w:r>
          </w:p>
        </w:tc>
        <w:tc>
          <w:tcPr>
            <w:tcW w:w="80" w:type="dxa"/>
            <w:vAlign w:val="bottom"/>
          </w:tcPr>
          <w:p>
            <w:pPr>
              <w:spacing w:after="0"/>
              <w:rPr>
                <w:sz w:val="12"/>
                <w:szCs w:val="12"/>
                <w:color w:val="auto"/>
              </w:rPr>
            </w:pPr>
          </w:p>
        </w:tc>
        <w:tc>
          <w:tcPr>
            <w:tcW w:w="140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479EFF"/>
                <w:w w:val="97"/>
              </w:rPr>
              <w:t>Change in Control</w:t>
            </w:r>
          </w:p>
        </w:tc>
      </w:tr>
      <w:tr>
        <w:trPr>
          <w:trHeight w:val="169"/>
        </w:trPr>
        <w:tc>
          <w:tcPr>
            <w:tcW w:w="5820" w:type="dxa"/>
            <w:vAlign w:val="bottom"/>
            <w:tcBorders>
              <w:bottom w:val="single" w:sz="8" w:color="479EFF"/>
            </w:tcBorders>
          </w:tcPr>
          <w:p>
            <w:pPr>
              <w:spacing w:after="0"/>
              <w:rPr>
                <w:sz w:val="20"/>
                <w:szCs w:val="20"/>
                <w:color w:val="auto"/>
              </w:rPr>
            </w:pPr>
            <w:r>
              <w:rPr>
                <w:rFonts w:ascii="Arial" w:cs="Arial" w:eastAsia="Arial" w:hAnsi="Arial"/>
                <w:sz w:val="13"/>
                <w:szCs w:val="13"/>
                <w:b w:val="1"/>
                <w:bCs w:val="1"/>
                <w:color w:val="479EFF"/>
              </w:rPr>
              <w:t>Payments upon Termination</w:t>
            </w:r>
          </w:p>
        </w:tc>
        <w:tc>
          <w:tcPr>
            <w:tcW w:w="106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94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1220" w:type="dxa"/>
            <w:vAlign w:val="bottom"/>
            <w:tcBorders>
              <w:bottom w:val="single" w:sz="8" w:color="479EFF"/>
            </w:tcBorders>
          </w:tcPr>
          <w:p>
            <w:pPr>
              <w:jc w:val="center"/>
              <w:spacing w:after="0"/>
              <w:rPr>
                <w:sz w:val="20"/>
                <w:szCs w:val="20"/>
                <w:color w:val="auto"/>
              </w:rPr>
            </w:pPr>
            <w:r>
              <w:rPr>
                <w:rFonts w:ascii="Arial" w:cs="Arial" w:eastAsia="Arial" w:hAnsi="Arial"/>
                <w:sz w:val="13"/>
                <w:szCs w:val="13"/>
                <w:b w:val="1"/>
                <w:bCs w:val="1"/>
                <w:color w:val="479EFF"/>
              </w:rPr>
              <w:t>($)</w:t>
            </w:r>
          </w:p>
        </w:tc>
        <w:tc>
          <w:tcPr>
            <w:tcW w:w="780" w:type="dxa"/>
            <w:vAlign w:val="bottom"/>
            <w:tcBorders>
              <w:bottom w:val="single" w:sz="8" w:color="479EFF"/>
            </w:tcBorders>
          </w:tcPr>
          <w:p>
            <w:pPr>
              <w:jc w:val="center"/>
              <w:ind w:left="77"/>
              <w:spacing w:after="0"/>
              <w:rPr>
                <w:sz w:val="20"/>
                <w:szCs w:val="20"/>
                <w:color w:val="auto"/>
              </w:rPr>
            </w:pPr>
            <w:r>
              <w:rPr>
                <w:rFonts w:ascii="Arial" w:cs="Arial" w:eastAsia="Arial" w:hAnsi="Arial"/>
                <w:sz w:val="13"/>
                <w:szCs w:val="13"/>
                <w:b w:val="1"/>
                <w:bCs w:val="1"/>
                <w:color w:val="479EFF"/>
              </w:rPr>
              <w:t>($)</w:t>
            </w:r>
          </w:p>
        </w:tc>
        <w:tc>
          <w:tcPr>
            <w:tcW w:w="1320" w:type="dxa"/>
            <w:vAlign w:val="bottom"/>
            <w:tcBorders>
              <w:bottom w:val="single" w:sz="8" w:color="479EFF"/>
            </w:tcBorders>
            <w:gridSpan w:val="2"/>
          </w:tcPr>
          <w:p>
            <w:pPr>
              <w:jc w:val="center"/>
              <w:ind w:left="142"/>
              <w:spacing w:after="0"/>
              <w:rPr>
                <w:sz w:val="20"/>
                <w:szCs w:val="20"/>
                <w:color w:val="auto"/>
              </w:rPr>
            </w:pPr>
            <w:r>
              <w:rPr>
                <w:rFonts w:ascii="Arial" w:cs="Arial" w:eastAsia="Arial" w:hAnsi="Arial"/>
                <w:sz w:val="13"/>
                <w:szCs w:val="13"/>
                <w:b w:val="1"/>
                <w:bCs w:val="1"/>
                <w:color w:val="479EFF"/>
              </w:rPr>
              <w:t>($)</w:t>
            </w:r>
          </w:p>
        </w:tc>
        <w:tc>
          <w:tcPr>
            <w:tcW w:w="160" w:type="dxa"/>
            <w:vAlign w:val="bottom"/>
          </w:tcPr>
          <w:p>
            <w:pPr>
              <w:spacing w:after="0"/>
              <w:rPr>
                <w:sz w:val="14"/>
                <w:szCs w:val="14"/>
                <w:color w:val="auto"/>
              </w:rPr>
            </w:pPr>
          </w:p>
        </w:tc>
      </w:tr>
      <w:tr>
        <w:trPr>
          <w:trHeight w:val="146"/>
        </w:trPr>
        <w:tc>
          <w:tcPr>
            <w:tcW w:w="582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Base salary payout</w:t>
            </w:r>
          </w:p>
        </w:tc>
        <w:tc>
          <w:tcPr>
            <w:tcW w:w="106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right w:val="single" w:sz="8" w:color="auto"/>
            </w:tcBorders>
          </w:tcPr>
          <w:p>
            <w:pPr>
              <w:jc w:val="right"/>
              <w:ind w:right="57"/>
              <w:spacing w:after="0" w:line="146"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right w:val="single" w:sz="8" w:color="auto"/>
            </w:tcBorders>
          </w:tcPr>
          <w:p>
            <w:pPr>
              <w:jc w:val="right"/>
              <w:ind w:right="297"/>
              <w:spacing w:after="0" w:line="146" w:lineRule="exact"/>
              <w:rPr>
                <w:sz w:val="20"/>
                <w:szCs w:val="20"/>
                <w:color w:val="auto"/>
              </w:rPr>
            </w:pPr>
            <w:r>
              <w:rPr>
                <w:rFonts w:ascii="Arial" w:cs="Arial" w:eastAsia="Arial" w:hAnsi="Arial"/>
                <w:sz w:val="13"/>
                <w:szCs w:val="13"/>
                <w:color w:val="auto"/>
              </w:rPr>
              <w:t>425,000</w:t>
            </w:r>
          </w:p>
        </w:tc>
        <w:tc>
          <w:tcPr>
            <w:tcW w:w="780" w:type="dxa"/>
            <w:vAlign w:val="bottom"/>
            <w:tcBorders>
              <w:bottom w:val="single" w:sz="8" w:color="auto"/>
            </w:tcBorders>
          </w:tcPr>
          <w:p>
            <w:pPr>
              <w:jc w:val="right"/>
              <w:ind w:right="37"/>
              <w:spacing w:after="0" w:line="146"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jc w:val="right"/>
              <w:ind w:right="217"/>
              <w:spacing w:after="0" w:line="146" w:lineRule="exact"/>
              <w:rPr>
                <w:sz w:val="20"/>
                <w:szCs w:val="20"/>
                <w:color w:val="auto"/>
              </w:rPr>
            </w:pPr>
            <w:r>
              <w:rPr>
                <w:rFonts w:ascii="Arial" w:cs="Arial" w:eastAsia="Arial" w:hAnsi="Arial"/>
                <w:sz w:val="13"/>
                <w:szCs w:val="13"/>
                <w:color w:val="auto"/>
              </w:rPr>
              <w:t>425,000</w:t>
            </w:r>
          </w:p>
        </w:tc>
        <w:tc>
          <w:tcPr>
            <w:tcW w:w="160" w:type="dxa"/>
            <w:vAlign w:val="bottom"/>
          </w:tcPr>
          <w:p>
            <w:pPr>
              <w:spacing w:after="0"/>
              <w:rPr>
                <w:sz w:val="12"/>
                <w:szCs w:val="12"/>
                <w:color w:val="auto"/>
              </w:rPr>
            </w:pPr>
          </w:p>
        </w:tc>
      </w:tr>
      <w:tr>
        <w:trPr>
          <w:trHeight w:val="136"/>
        </w:trPr>
        <w:tc>
          <w:tcPr>
            <w:tcW w:w="582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Restricted stock units</w:t>
            </w:r>
          </w:p>
        </w:tc>
        <w:tc>
          <w:tcPr>
            <w:tcW w:w="106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1,263,840</w:t>
            </w:r>
          </w:p>
        </w:tc>
        <w:tc>
          <w:tcPr>
            <w:tcW w:w="940" w:type="dxa"/>
            <w:vAlign w:val="bottom"/>
            <w:tcBorders>
              <w:bottom w:val="single" w:sz="8" w:color="auto"/>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1,263,840</w:t>
            </w:r>
          </w:p>
        </w:tc>
        <w:tc>
          <w:tcPr>
            <w:tcW w:w="1220" w:type="dxa"/>
            <w:vAlign w:val="bottom"/>
            <w:tcBorders>
              <w:bottom w:val="single" w:sz="8" w:color="auto"/>
              <w:right w:val="single" w:sz="8" w:color="auto"/>
            </w:tcBorders>
          </w:tcPr>
          <w:p>
            <w:pPr>
              <w:jc w:val="right"/>
              <w:ind w:right="297"/>
              <w:spacing w:after="0" w:line="136"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36" w:lineRule="exact"/>
              <w:rPr>
                <w:sz w:val="20"/>
                <w:szCs w:val="20"/>
                <w:color w:val="auto"/>
              </w:rPr>
            </w:pPr>
            <w:r>
              <w:rPr>
                <w:rFonts w:ascii="Arial" w:cs="Arial" w:eastAsia="Arial" w:hAnsi="Arial"/>
                <w:sz w:val="13"/>
                <w:szCs w:val="13"/>
                <w:color w:val="auto"/>
              </w:rPr>
              <w:t>435,036</w:t>
            </w:r>
          </w:p>
        </w:tc>
        <w:tc>
          <w:tcPr>
            <w:tcW w:w="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tcBorders>
          </w:tcPr>
          <w:p>
            <w:pPr>
              <w:jc w:val="right"/>
              <w:ind w:right="217"/>
              <w:spacing w:after="0" w:line="136" w:lineRule="exact"/>
              <w:rPr>
                <w:sz w:val="20"/>
                <w:szCs w:val="20"/>
                <w:color w:val="auto"/>
              </w:rPr>
            </w:pPr>
            <w:r>
              <w:rPr>
                <w:rFonts w:ascii="Arial" w:cs="Arial" w:eastAsia="Arial" w:hAnsi="Arial"/>
                <w:sz w:val="13"/>
                <w:szCs w:val="13"/>
                <w:color w:val="auto"/>
              </w:rPr>
              <w:t>1,263,840</w:t>
            </w:r>
          </w:p>
        </w:tc>
        <w:tc>
          <w:tcPr>
            <w:tcW w:w="160" w:type="dxa"/>
            <w:vAlign w:val="bottom"/>
          </w:tcPr>
          <w:p>
            <w:pPr>
              <w:spacing w:after="0"/>
              <w:rPr>
                <w:sz w:val="11"/>
                <w:szCs w:val="11"/>
                <w:color w:val="auto"/>
              </w:rPr>
            </w:pPr>
          </w:p>
        </w:tc>
      </w:tr>
      <w:tr>
        <w:trPr>
          <w:trHeight w:val="145"/>
        </w:trPr>
        <w:tc>
          <w:tcPr>
            <w:tcW w:w="582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color w:val="auto"/>
              </w:rPr>
              <w:t>Performance restricted stock units</w:t>
            </w:r>
          </w:p>
        </w:tc>
        <w:tc>
          <w:tcPr>
            <w:tcW w:w="1060" w:type="dxa"/>
            <w:vAlign w:val="bottom"/>
            <w:tcBorders>
              <w:bottom w:val="single" w:sz="8" w:color="479EFF"/>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491,055</w:t>
            </w:r>
          </w:p>
        </w:tc>
        <w:tc>
          <w:tcPr>
            <w:tcW w:w="940" w:type="dxa"/>
            <w:vAlign w:val="bottom"/>
            <w:tcBorders>
              <w:bottom w:val="single" w:sz="8" w:color="479EFF"/>
              <w:right w:val="single" w:sz="8" w:color="auto"/>
            </w:tcBorders>
          </w:tcPr>
          <w:p>
            <w:pPr>
              <w:jc w:val="right"/>
              <w:ind w:right="57"/>
              <w:spacing w:after="0" w:line="136" w:lineRule="exact"/>
              <w:rPr>
                <w:sz w:val="20"/>
                <w:szCs w:val="20"/>
                <w:color w:val="auto"/>
              </w:rPr>
            </w:pPr>
            <w:r>
              <w:rPr>
                <w:rFonts w:ascii="Arial" w:cs="Arial" w:eastAsia="Arial" w:hAnsi="Arial"/>
                <w:sz w:val="13"/>
                <w:szCs w:val="13"/>
                <w:color w:val="auto"/>
              </w:rPr>
              <w:t>1,155,457</w:t>
            </w:r>
          </w:p>
        </w:tc>
        <w:tc>
          <w:tcPr>
            <w:tcW w:w="1220" w:type="dxa"/>
            <w:vAlign w:val="bottom"/>
            <w:tcBorders>
              <w:bottom w:val="single" w:sz="8" w:color="479EFF"/>
              <w:right w:val="single" w:sz="8" w:color="auto"/>
            </w:tcBorders>
          </w:tcPr>
          <w:p>
            <w:pPr>
              <w:jc w:val="right"/>
              <w:ind w:right="297"/>
              <w:spacing w:after="0" w:line="136"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479EFF"/>
            </w:tcBorders>
          </w:tcPr>
          <w:p>
            <w:pPr>
              <w:jc w:val="right"/>
              <w:ind w:right="37"/>
              <w:spacing w:after="0" w:line="136" w:lineRule="exact"/>
              <w:rPr>
                <w:sz w:val="20"/>
                <w:szCs w:val="20"/>
                <w:color w:val="auto"/>
              </w:rPr>
            </w:pPr>
            <w:r>
              <w:rPr>
                <w:rFonts w:ascii="Arial" w:cs="Arial" w:eastAsia="Arial" w:hAnsi="Arial"/>
                <w:sz w:val="13"/>
                <w:szCs w:val="13"/>
                <w:color w:val="auto"/>
              </w:rPr>
              <w:t>969,183</w:t>
            </w:r>
          </w:p>
        </w:tc>
        <w:tc>
          <w:tcPr>
            <w:tcW w:w="80" w:type="dxa"/>
            <w:vAlign w:val="bottom"/>
            <w:tcBorders>
              <w:bottom w:val="single" w:sz="8" w:color="479EFF"/>
              <w:right w:val="single" w:sz="8" w:color="auto"/>
            </w:tcBorders>
          </w:tcPr>
          <w:p>
            <w:pPr>
              <w:spacing w:after="0"/>
              <w:rPr>
                <w:sz w:val="12"/>
                <w:szCs w:val="12"/>
                <w:color w:val="auto"/>
              </w:rPr>
            </w:pPr>
          </w:p>
        </w:tc>
        <w:tc>
          <w:tcPr>
            <w:tcW w:w="1240" w:type="dxa"/>
            <w:vAlign w:val="bottom"/>
            <w:tcBorders>
              <w:bottom w:val="single" w:sz="8" w:color="479EFF"/>
            </w:tcBorders>
          </w:tcPr>
          <w:p>
            <w:pPr>
              <w:jc w:val="right"/>
              <w:ind w:right="217"/>
              <w:spacing w:after="0" w:line="136" w:lineRule="exact"/>
              <w:rPr>
                <w:sz w:val="20"/>
                <w:szCs w:val="20"/>
                <w:color w:val="auto"/>
              </w:rPr>
            </w:pPr>
            <w:r>
              <w:rPr>
                <w:rFonts w:ascii="Arial" w:cs="Arial" w:eastAsia="Arial" w:hAnsi="Arial"/>
                <w:sz w:val="13"/>
                <w:szCs w:val="13"/>
                <w:color w:val="auto"/>
              </w:rPr>
              <w:t>1,155,457</w:t>
            </w:r>
          </w:p>
        </w:tc>
        <w:tc>
          <w:tcPr>
            <w:tcW w:w="160" w:type="dxa"/>
            <w:vAlign w:val="bottom"/>
          </w:tcPr>
          <w:p>
            <w:pPr>
              <w:spacing w:after="0"/>
              <w:rPr>
                <w:sz w:val="12"/>
                <w:szCs w:val="12"/>
                <w:color w:val="auto"/>
              </w:rPr>
            </w:pPr>
          </w:p>
        </w:tc>
      </w:tr>
      <w:tr>
        <w:trPr>
          <w:trHeight w:val="310"/>
        </w:trPr>
        <w:tc>
          <w:tcPr>
            <w:tcW w:w="5820" w:type="dxa"/>
            <w:vAlign w:val="bottom"/>
          </w:tcPr>
          <w:p>
            <w:pPr>
              <w:spacing w:after="0"/>
              <w:rPr>
                <w:sz w:val="20"/>
                <w:szCs w:val="20"/>
                <w:color w:val="auto"/>
              </w:rPr>
            </w:pPr>
            <w:r>
              <w:rPr>
                <w:rFonts w:ascii="Arial" w:cs="Arial" w:eastAsia="Arial" w:hAnsi="Arial"/>
                <w:sz w:val="13"/>
                <w:szCs w:val="13"/>
                <w:b w:val="1"/>
                <w:bCs w:val="1"/>
                <w:color w:val="479EFF"/>
              </w:rPr>
              <w:t>Certain Defined Terms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2"/>
        </w:trPr>
        <w:tc>
          <w:tcPr>
            <w:tcW w:w="5820" w:type="dxa"/>
            <w:vAlign w:val="bottom"/>
          </w:tcPr>
          <w:p>
            <w:pPr>
              <w:spacing w:after="0"/>
              <w:rPr>
                <w:sz w:val="20"/>
                <w:szCs w:val="20"/>
                <w:color w:val="auto"/>
              </w:rPr>
            </w:pPr>
            <w:r>
              <w:rPr>
                <w:rFonts w:ascii="Arial" w:cs="Arial" w:eastAsia="Arial" w:hAnsi="Arial"/>
                <w:sz w:val="13"/>
                <w:szCs w:val="13"/>
                <w:b w:val="1"/>
                <w:bCs w:val="1"/>
                <w:color w:val="auto"/>
              </w:rPr>
              <w:t>Definition of Cause</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49" w:lineRule="exact"/>
        <w:rPr>
          <w:sz w:val="20"/>
          <w:szCs w:val="20"/>
          <w:color w:val="auto"/>
        </w:rPr>
      </w:pPr>
    </w:p>
    <w:p>
      <w:pPr>
        <w:jc w:val="both"/>
        <w:ind w:right="80"/>
        <w:spacing w:after="0" w:line="253" w:lineRule="auto"/>
        <w:rPr>
          <w:sz w:val="20"/>
          <w:szCs w:val="20"/>
          <w:color w:val="auto"/>
        </w:rPr>
      </w:pPr>
      <w:r>
        <w:rPr>
          <w:rFonts w:ascii="Arial" w:cs="Arial" w:eastAsia="Arial" w:hAnsi="Arial"/>
          <w:sz w:val="12"/>
          <w:szCs w:val="12"/>
          <w:color w:val="auto"/>
        </w:rPr>
        <w:t>The following definition of "cause" applies to Messrs. Kapoor, Nicolelli, Bagai, Miglani, Bhalla and Meckey unless stated otherwise. "Cause" will occur if: (i) there is a final nonappealable conviction of, or pleading of no contest to, (1) a crime of moral turpitude which causes serious economic injury or serious injury to our reputation or (2) a felony; (ii) the executive engages in fraud, embezzlement, gross negligence, self-dealing, dishonesty or other gross and willful misconduct which causes serious and demonstrable injury to us; (iii) the executive materially violates any of our material policies (for</w:t>
      </w:r>
    </w:p>
    <w:p>
      <w:pPr>
        <w:spacing w:after="0" w:line="1" w:lineRule="exact"/>
        <w:rPr>
          <w:sz w:val="20"/>
          <w:szCs w:val="20"/>
          <w:color w:val="auto"/>
        </w:rPr>
      </w:pPr>
    </w:p>
    <w:p>
      <w:pPr>
        <w:ind w:right="80"/>
        <w:spacing w:after="0" w:line="235" w:lineRule="auto"/>
        <w:rPr>
          <w:sz w:val="20"/>
          <w:szCs w:val="20"/>
          <w:color w:val="auto"/>
        </w:rPr>
      </w:pPr>
      <w:r>
        <w:rPr>
          <w:rFonts w:ascii="Arial" w:cs="Arial" w:eastAsia="Arial" w:hAnsi="Arial"/>
          <w:sz w:val="13"/>
          <w:szCs w:val="13"/>
          <w:color w:val="auto"/>
        </w:rPr>
        <w:t>Mr. Kapoor, which is not remedied within 15 days of receipt of notice from the Company specifying the breach in reasonable detail); (iv) 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 (v) the executive fails to reasonably cooperate in a governmental investigation involving us; (vi) the executive materially, knowingly and intentionally fails to comply with applicable laws with respect to the execution of the Company's business operations (subject to a presumption of good faith if the executive is following advice of counsel); (vii) the executive fails to follow his supervisor's (or, for Messrs. Kapoor and Bagai our board of directors') lawful instructions and does not remedy the failure for 15 days after we give him written notice; (viii) the executive's use of alcohol or drugs materially interferes with the performance of his duties; (ix) for Mr. Kapoor only, he fails to take reasonable steps to end certain affiliations specified in his employment agreement within six months after a request by our board of directors; or (x) for Mr. Kapoor only, he materially breaches any material term of his employment agreement which is not remedied within 15 days of receipt of notice from the Company specifying the breach in reasonable detail.</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of Good Reason</w:t>
      </w:r>
    </w:p>
    <w:p>
      <w:pPr>
        <w:spacing w:after="0" w:line="168" w:lineRule="exact"/>
        <w:rPr>
          <w:sz w:val="20"/>
          <w:szCs w:val="20"/>
          <w:color w:val="auto"/>
        </w:rPr>
      </w:pPr>
    </w:p>
    <w:p>
      <w:pPr>
        <w:ind w:right="160"/>
        <w:spacing w:after="0" w:line="266" w:lineRule="auto"/>
        <w:rPr>
          <w:sz w:val="20"/>
          <w:szCs w:val="20"/>
          <w:color w:val="auto"/>
        </w:rPr>
      </w:pPr>
      <w:r>
        <w:rPr>
          <w:rFonts w:ascii="Arial" w:cs="Arial" w:eastAsia="Arial" w:hAnsi="Arial"/>
          <w:sz w:val="12"/>
          <w:szCs w:val="12"/>
          <w:color w:val="auto"/>
        </w:rPr>
        <w:t>For Mr. Kapoor, "good reason" generally means: (i) his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 it being understood that "good reason" shall be deemed to exist if Mr. Kapoor is no longer the chief executive officer of the Company or any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182880</wp:posOffset>
            </wp:positionV>
            <wp:extent cx="1408430" cy="3333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0800"/>
        <w:spacing w:after="0"/>
        <w:rPr>
          <w:sz w:val="20"/>
          <w:szCs w:val="20"/>
          <w:color w:val="auto"/>
        </w:rPr>
      </w:pPr>
      <w:r>
        <w:rPr>
          <w:rFonts w:ascii="Arial" w:cs="Arial" w:eastAsia="Arial" w:hAnsi="Arial"/>
          <w:sz w:val="13"/>
          <w:szCs w:val="13"/>
          <w:color w:val="FFFFFE"/>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02" w:name="page103"/>
    <w:bookmarkEnd w:id="102"/>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
        <w:spacing w:after="0"/>
        <w:rPr>
          <w:sz w:val="20"/>
          <w:szCs w:val="20"/>
          <w:color w:val="auto"/>
        </w:rPr>
      </w:pPr>
      <w:r>
        <w:rPr>
          <w:rFonts w:ascii="Arial" w:cs="Arial" w:eastAsia="Arial" w:hAnsi="Arial"/>
          <w:sz w:val="10"/>
          <w:szCs w:val="10"/>
          <w:b w:val="1"/>
          <w:bCs w:val="1"/>
          <w:color w:val="CCD9D9"/>
        </w:rPr>
        <w:t>EXECUTIVE COMPENSATION</w:t>
      </w:r>
    </w:p>
    <w:p>
      <w:pPr>
        <w:spacing w:after="0" w:line="168" w:lineRule="exact"/>
        <w:rPr>
          <w:sz w:val="20"/>
          <w:szCs w:val="20"/>
          <w:color w:val="auto"/>
        </w:rPr>
      </w:pPr>
    </w:p>
    <w:p>
      <w:pPr>
        <w:ind w:left="2" w:right="200"/>
        <w:spacing w:after="0" w:line="236" w:lineRule="auto"/>
        <w:rPr>
          <w:sz w:val="20"/>
          <w:szCs w:val="20"/>
          <w:color w:val="auto"/>
        </w:rPr>
      </w:pPr>
      <w:r>
        <w:rPr>
          <w:rFonts w:ascii="Arial" w:cs="Arial" w:eastAsia="Arial" w:hAnsi="Arial"/>
          <w:sz w:val="13"/>
          <w:szCs w:val="13"/>
          <w:color w:val="auto"/>
        </w:rPr>
        <w:t>that acquires the Company; (ii) his base salary is reduced, or his target annual bonus opportunity is reduced below 100% of his base salary; (iii) the office or location where he is based in the metropolitan New York City area is moved more than 30 miles, and the new location is more than 30 miles from his primary residence in the metropolitan New York City area; or (iv) we breach any material term of his employment agreement. If Mr. Kapoor plans to terminate his employment for good reason, he must notify us within 45 days following the date the executive first becomes aware of the circumstances giving rise to good reason and must allow us 30 days to remedy the problem.</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12"/>
          <w:szCs w:val="12"/>
          <w:color w:val="auto"/>
        </w:rPr>
        <w:t>The following definition of "good reason" applies to Messrs. Nicolelli, Bagai, Miglani, Bhalla and Meckey unless stated otherwise. "Good reason" means, without the executive's prior written consent:</w:t>
      </w:r>
    </w:p>
    <w:p>
      <w:pPr>
        <w:spacing w:after="0" w:line="8" w:lineRule="exact"/>
        <w:rPr>
          <w:sz w:val="20"/>
          <w:szCs w:val="20"/>
          <w:color w:val="auto"/>
        </w:rPr>
      </w:pPr>
    </w:p>
    <w:p>
      <w:pPr>
        <w:ind w:left="2" w:hanging="2"/>
        <w:spacing w:after="0" w:line="235" w:lineRule="auto"/>
        <w:tabs>
          <w:tab w:leader="none" w:pos="15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executive's duties or responsibilities are substantially reduced, or he is required to report to anyone other than our board of directors, or our CEO; (ii) the executive's title as our officer is adversely changed; however, if following a change in control (as defined in the 2018 Plan), his new title and authority are similar to his old title and authority, then any change in the executive's title will not constitute a significant reduction in his duties and authorities; (iii) for Mr. Bagai only, the executive's base salary or annual cash bonus opportunity is reduced, other than in connection with a proportionate reduction impacting all members of our executive committee; (iv) for Messrs. Nicolelli, Miglani and Meckey only, there is a change in the office or location where the executive is based of more than 50 miles and such new office or location is more than 50 miles from the executive's primary residence; or (v) we breach any material term of the executive's employment agreement or severance agreement. If the executive plans to terminate his employment for good reason, he must notify us within 30 days following the date the executive first becomes aware of the circumstances giving rise to good reason and must allow us 30 days to remedy the problem.</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Definition of Change in Control</w:t>
      </w:r>
    </w:p>
    <w:p>
      <w:pPr>
        <w:spacing w:after="0" w:line="168" w:lineRule="exact"/>
        <w:rPr>
          <w:sz w:val="20"/>
          <w:szCs w:val="20"/>
          <w:color w:val="auto"/>
        </w:rPr>
      </w:pPr>
    </w:p>
    <w:p>
      <w:pPr>
        <w:ind w:left="2"/>
        <w:spacing w:after="0" w:line="253" w:lineRule="auto"/>
        <w:rPr>
          <w:sz w:val="20"/>
          <w:szCs w:val="20"/>
          <w:color w:val="auto"/>
        </w:rPr>
      </w:pPr>
      <w:r>
        <w:rPr>
          <w:rFonts w:ascii="Arial" w:cs="Arial" w:eastAsia="Arial" w:hAnsi="Arial"/>
          <w:sz w:val="12"/>
          <w:szCs w:val="12"/>
          <w:color w:val="auto"/>
        </w:rPr>
        <w:t>A "change in control" (as generally defined in Mr. Kapoor's employment agreement and the 2018 Plan, as applicable) generally means any of the following events: (i) 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(ii) a majority of the members of our board of directors changes from those in office as of the date of Mr. Kapoor's employment agreement or the effective date of the 2018 Plan (as applicable), except that the election of any new director whose election or nomination was approved by at least two-thirds of our incumbent directors will not be regarded towards a change in the majority for these purposes; (iii) our dissolution or liquidation; (iv) the sale, transfer or other disposition of all or substantially all of our business or our assets; or (v) consummation of a reorganization, recapitalization, merger, consolidation or similar transaction with another entity which requires the approval of our stockholders; however, any such transaction will not be a change in control if after the transaction</w:t>
      </w:r>
    </w:p>
    <w:p>
      <w:pPr>
        <w:spacing w:after="0" w:line="3" w:lineRule="exact"/>
        <w:rPr>
          <w:sz w:val="20"/>
          <w:szCs w:val="20"/>
          <w:color w:val="auto"/>
        </w:rPr>
      </w:pPr>
    </w:p>
    <w:p>
      <w:pPr>
        <w:jc w:val="both"/>
        <w:ind w:left="2" w:right="280" w:hanging="2"/>
        <w:spacing w:after="0" w:line="236" w:lineRule="auto"/>
        <w:tabs>
          <w:tab w:leader="none" w:pos="192" w:val="left"/>
        </w:tabs>
        <w:numPr>
          <w:ilvl w:val="0"/>
          <w:numId w:val="89"/>
        </w:numPr>
        <w:rPr>
          <w:rFonts w:ascii="Arial" w:cs="Arial" w:eastAsia="Arial" w:hAnsi="Arial"/>
          <w:sz w:val="13"/>
          <w:szCs w:val="13"/>
          <w:color w:val="auto"/>
        </w:rPr>
      </w:pPr>
      <w:r>
        <w:rPr>
          <w:rFonts w:ascii="Arial" w:cs="Arial" w:eastAsia="Arial" w:hAnsi="Arial"/>
          <w:sz w:val="13"/>
          <w:szCs w:val="13"/>
          <w:color w:val="auto"/>
        </w:rPr>
        <w:t>more than 50% of the total voting power of the resulting entity or its ultimate parent is represented by what were our outstanding voting securities before the transaction in substantially the same proportion among holders; (2) no person or group is or becomes the beneficial owner of more than 50% of the total voting power of the outstanding voting securities eligible to elect members of our board of directors of the parent or surviving company; and (3) at least a majority of the members of our board of directors of the parent or surviving company following the transaction were our board members when our board first approved the transaction.</w:t>
      </w:r>
    </w:p>
    <w:p>
      <w:pPr>
        <w:spacing w:after="0" w:line="135"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Definition of Retirement</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3"/>
          <w:szCs w:val="13"/>
          <w:color w:val="auto"/>
        </w:rPr>
        <w:t>A "retirement" generally means a named executive officer's voluntary termination of employment that is effective after he reaches 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1408430" cy="3333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2"/>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241300</wp:posOffset>
            </wp:positionV>
            <wp:extent cx="7177405" cy="190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2"/>
          </w:cols>
          <w:pgMar w:left="298" w:top="142" w:right="319" w:bottom="1440" w:gutter="0" w:footer="0" w:header="0"/>
        </w:sectPr>
      </w:pPr>
    </w:p>
    <w:bookmarkStart w:id="103" w:name="page104"/>
    <w:bookmarkEnd w:id="10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CEO Pay Ratio</w:t>
      </w:r>
    </w:p>
    <w:p>
      <w:pPr>
        <w:spacing w:after="0" w:line="168"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In accordance with SEC rules and the Dodd-Frank Wall Street Reform and Consumer Protection Act, presented below is an estimate of the ratio of our CEO's annual total compensation to our median employee's annual total compensation (our "Pay Ratio"). Due to the size and complexity of our organization, which as of March 31, 2021 was made up of approximately 31,600 professionals throughout the world, with delivery centers in over 10 countries, our Pay Ratio is based on reasonable assumptions and estimates described below.</w:t>
      </w:r>
    </w:p>
    <w:p>
      <w:pPr>
        <w:spacing w:after="0" w:line="150"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We calculated our Pay Ratio by looking at our entire employee population (excluding our CEO) as of December 31, 2020, but excluding leased employees and independent contractors. We then calculated each employee's "total pay" using the sum of his or her fixed pay / base salary and variable pay (including any performance bonus, sales commission, and retention or signing bonus). We also annualized total pay for all full-time and part-time employees that were employed for less than the full fiscal year 2020.</w:t>
      </w:r>
    </w:p>
    <w:p>
      <w:pPr>
        <w:spacing w:after="0" w:line="150" w:lineRule="exact"/>
        <w:rPr>
          <w:sz w:val="20"/>
          <w:szCs w:val="20"/>
          <w:color w:val="auto"/>
        </w:rPr>
      </w:pPr>
    </w:p>
    <w:p>
      <w:pPr>
        <w:ind w:right="40"/>
        <w:spacing w:after="0" w:line="237" w:lineRule="auto"/>
        <w:rPr>
          <w:sz w:val="20"/>
          <w:szCs w:val="20"/>
          <w:color w:val="auto"/>
        </w:rPr>
      </w:pPr>
      <w:r>
        <w:rPr>
          <w:rFonts w:ascii="Arial" w:cs="Arial" w:eastAsia="Arial" w:hAnsi="Arial"/>
          <w:sz w:val="13"/>
          <w:szCs w:val="13"/>
          <w:color w:val="auto"/>
        </w:rPr>
        <w:t>For all employees located in jurisdictions other than the United States, a cost-of-living adjustment was made to align their compensation with the cost-of-living standards in the United States, the jurisdiction in which our CEO resides. Finally, we identified the median employee and calculated his or her annual total compensation and the CEO's annual total compensation in the manner required by Item 402(u) of Regulation S-K, to determine the pay ratio shown in the table below.</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Pay Ratio — All Employees (with COLA)</w:t>
      </w:r>
      <w:r>
        <w:rPr>
          <w:rFonts w:ascii="Arial" w:cs="Arial" w:eastAsia="Arial" w:hAnsi="Arial"/>
          <w:sz w:val="21"/>
          <w:szCs w:val="21"/>
          <w:b w:val="1"/>
          <w:bCs w:val="1"/>
          <w:color w:val="479EFF"/>
          <w:vertAlign w:val="superscript"/>
        </w:rPr>
        <w:t>(1)</w:t>
      </w:r>
    </w:p>
    <w:tbl>
      <w:tblPr>
        <w:tblLayout w:type="fixed"/>
        <w:tblInd w:w="0" w:type="dxa"/>
        <w:tblCellMar>
          <w:top w:w="0" w:type="dxa"/>
          <w:left w:w="0" w:type="dxa"/>
          <w:bottom w:w="0" w:type="dxa"/>
          <w:right w:w="0" w:type="dxa"/>
        </w:tblCellMar>
      </w:tblPr>
      <w:tr>
        <w:trPr>
          <w:trHeight w:val="155"/>
        </w:trPr>
        <w:tc>
          <w:tcPr>
            <w:tcW w:w="10520" w:type="dxa"/>
            <w:vAlign w:val="bottom"/>
            <w:tcBorders>
              <w:top w:val="single" w:sz="8" w:color="479EFF"/>
              <w:bottom w:val="single" w:sz="8" w:color="auto"/>
              <w:right w:val="single" w:sz="8" w:color="auto"/>
            </w:tcBorders>
          </w:tcPr>
          <w:p>
            <w:pPr>
              <w:spacing w:after="0"/>
              <w:rPr>
                <w:sz w:val="20"/>
                <w:szCs w:val="20"/>
                <w:color w:val="auto"/>
              </w:rPr>
            </w:pPr>
            <w:r>
              <w:rPr>
                <w:rFonts w:ascii="Arial" w:cs="Arial" w:eastAsia="Arial" w:hAnsi="Arial"/>
                <w:sz w:val="13"/>
                <w:szCs w:val="13"/>
                <w:color w:val="auto"/>
              </w:rPr>
              <w:t>Chief Executive Officer's Annual Total Compensation</w:t>
            </w:r>
          </w:p>
        </w:tc>
        <w:tc>
          <w:tcPr>
            <w:tcW w:w="780" w:type="dxa"/>
            <w:vAlign w:val="bottom"/>
            <w:tcBorders>
              <w:top w:val="single" w:sz="8" w:color="479EFF"/>
              <w:bottom w:val="single" w:sz="8" w:color="auto"/>
            </w:tcBorders>
          </w:tcPr>
          <w:p>
            <w:pPr>
              <w:jc w:val="right"/>
              <w:spacing w:after="0"/>
              <w:rPr>
                <w:sz w:val="20"/>
                <w:szCs w:val="20"/>
                <w:color w:val="auto"/>
              </w:rPr>
            </w:pPr>
            <w:r>
              <w:rPr>
                <w:rFonts w:ascii="Arial" w:cs="Arial" w:eastAsia="Arial" w:hAnsi="Arial"/>
                <w:sz w:val="13"/>
                <w:szCs w:val="13"/>
                <w:color w:val="auto"/>
              </w:rPr>
              <w:t>$7,141,267</w:t>
            </w:r>
          </w:p>
        </w:tc>
      </w:tr>
      <w:tr>
        <w:trPr>
          <w:trHeight w:val="136"/>
        </w:trPr>
        <w:tc>
          <w:tcPr>
            <w:tcW w:w="1052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Median Employee's Annual Total Compensation</w:t>
            </w:r>
          </w:p>
        </w:tc>
        <w:tc>
          <w:tcPr>
            <w:tcW w:w="7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$10,682</w:t>
            </w:r>
          </w:p>
        </w:tc>
      </w:tr>
      <w:tr>
        <w:trPr>
          <w:trHeight w:val="145"/>
        </w:trPr>
        <w:tc>
          <w:tcPr>
            <w:tcW w:w="1052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color w:val="auto"/>
              </w:rPr>
              <w:t>Ratio of Chief Executive Officer's Annual Total Compensation to Median Employee's Annual Total Compensation</w:t>
            </w:r>
          </w:p>
        </w:tc>
        <w:tc>
          <w:tcPr>
            <w:tcW w:w="780" w:type="dxa"/>
            <w:vAlign w:val="bottom"/>
            <w:tcBorders>
              <w:bottom w:val="single" w:sz="8" w:color="479EFF"/>
            </w:tcBorders>
          </w:tcPr>
          <w:p>
            <w:pPr>
              <w:jc w:val="right"/>
              <w:spacing w:after="0" w:line="136" w:lineRule="exact"/>
              <w:rPr>
                <w:sz w:val="20"/>
                <w:szCs w:val="20"/>
                <w:color w:val="auto"/>
              </w:rPr>
            </w:pPr>
            <w:r>
              <w:rPr>
                <w:rFonts w:ascii="Arial" w:cs="Arial" w:eastAsia="Arial" w:hAnsi="Arial"/>
                <w:sz w:val="13"/>
                <w:szCs w:val="13"/>
                <w:color w:val="auto"/>
              </w:rPr>
              <w:t>669:1</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0"/>
          <w:szCs w:val="10"/>
          <w:color w:val="auto"/>
        </w:rPr>
        <w:t>(1) 2020 Mercer Combined Index. Our median employee, identified without performing a cost-of-living adjustment, is based in India and had an annual total compensation of $6,870, resulting in a pay ratio of 1,039:1.</w:t>
      </w:r>
    </w:p>
    <w:p>
      <w:pPr>
        <w:spacing w:after="0" w:line="156"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Approximately 93% of our employees are located outside of the United States, primarily in India and the Philippines. As is common with many global companies, our compensation programs are market based, and as such they may differ for employees based on the country where an employee works. Accordingly, we believe that it is important to show our pay-ratio calculated in a similar manner as described above using the median U.S.-based employee to provide a commensurable view of our pay practices.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Pay Ratio — United States Employees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520" w:type="dxa"/>
            <w:vAlign w:val="bottom"/>
            <w:tcBorders>
              <w:top w:val="single" w:sz="8" w:color="479EFF"/>
              <w:bottom w:val="single" w:sz="8" w:color="auto"/>
              <w:right w:val="single" w:sz="8" w:color="auto"/>
            </w:tcBorders>
          </w:tcPr>
          <w:p>
            <w:pPr>
              <w:spacing w:after="0"/>
              <w:rPr>
                <w:sz w:val="20"/>
                <w:szCs w:val="20"/>
                <w:color w:val="auto"/>
              </w:rPr>
            </w:pPr>
            <w:r>
              <w:rPr>
                <w:rFonts w:ascii="Arial" w:cs="Arial" w:eastAsia="Arial" w:hAnsi="Arial"/>
                <w:sz w:val="13"/>
                <w:szCs w:val="13"/>
                <w:color w:val="auto"/>
              </w:rPr>
              <w:t>Chief Executive Officer's Annual Total Compensation</w:t>
            </w:r>
          </w:p>
        </w:tc>
        <w:tc>
          <w:tcPr>
            <w:tcW w:w="780" w:type="dxa"/>
            <w:vAlign w:val="bottom"/>
            <w:tcBorders>
              <w:top w:val="single" w:sz="8" w:color="479EFF"/>
              <w:bottom w:val="single" w:sz="8" w:color="auto"/>
            </w:tcBorders>
          </w:tcPr>
          <w:p>
            <w:pPr>
              <w:jc w:val="right"/>
              <w:spacing w:after="0"/>
              <w:rPr>
                <w:sz w:val="20"/>
                <w:szCs w:val="20"/>
                <w:color w:val="auto"/>
              </w:rPr>
            </w:pPr>
            <w:r>
              <w:rPr>
                <w:rFonts w:ascii="Arial" w:cs="Arial" w:eastAsia="Arial" w:hAnsi="Arial"/>
                <w:sz w:val="13"/>
                <w:szCs w:val="13"/>
                <w:color w:val="auto"/>
              </w:rPr>
              <w:t>$7,141,267</w:t>
            </w:r>
          </w:p>
        </w:tc>
      </w:tr>
      <w:tr>
        <w:trPr>
          <w:trHeight w:val="136"/>
        </w:trPr>
        <w:tc>
          <w:tcPr>
            <w:tcW w:w="1052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Median Employee's Annual Total Compensation</w:t>
            </w:r>
          </w:p>
        </w:tc>
        <w:tc>
          <w:tcPr>
            <w:tcW w:w="7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$114,037</w:t>
            </w:r>
          </w:p>
        </w:tc>
      </w:tr>
      <w:tr>
        <w:trPr>
          <w:trHeight w:val="145"/>
        </w:trPr>
        <w:tc>
          <w:tcPr>
            <w:tcW w:w="1052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color w:val="auto"/>
              </w:rPr>
              <w:t>Ratio of Chief Executive Officer's Annual Total Compensation to Median Employee's Annual Total Compensation</w:t>
            </w:r>
          </w:p>
        </w:tc>
        <w:tc>
          <w:tcPr>
            <w:tcW w:w="780" w:type="dxa"/>
            <w:vAlign w:val="bottom"/>
            <w:tcBorders>
              <w:bottom w:val="single" w:sz="8" w:color="479EFF"/>
            </w:tcBorders>
          </w:tcPr>
          <w:p>
            <w:pPr>
              <w:jc w:val="right"/>
              <w:spacing w:after="0" w:line="136" w:lineRule="exact"/>
              <w:rPr>
                <w:sz w:val="20"/>
                <w:szCs w:val="20"/>
                <w:color w:val="auto"/>
              </w:rPr>
            </w:pPr>
            <w:r>
              <w:rPr>
                <w:rFonts w:ascii="Arial" w:cs="Arial" w:eastAsia="Arial" w:hAnsi="Arial"/>
                <w:sz w:val="13"/>
                <w:szCs w:val="13"/>
                <w:color w:val="auto"/>
              </w:rPr>
              <w:t>63:1</w:t>
            </w:r>
          </w:p>
        </w:tc>
      </w:tr>
      <w:tr>
        <w:trPr>
          <w:trHeight w:val="660"/>
        </w:trPr>
        <w:tc>
          <w:tcPr>
            <w:tcW w:w="10520" w:type="dxa"/>
            <w:vAlign w:val="bottom"/>
          </w:tcPr>
          <w:p>
            <w:pPr>
              <w:spacing w:after="0"/>
              <w:rPr>
                <w:sz w:val="24"/>
                <w:szCs w:val="24"/>
                <w:color w:val="auto"/>
              </w:rPr>
            </w:pPr>
          </w:p>
        </w:tc>
        <w:tc>
          <w:tcPr>
            <w:tcW w:w="780" w:type="dxa"/>
            <w:vAlign w:val="bottom"/>
          </w:tcPr>
          <w:p>
            <w:pPr>
              <w:jc w:val="right"/>
              <w:ind w:right="237"/>
              <w:spacing w:after="0"/>
              <w:rPr>
                <w:sz w:val="20"/>
                <w:szCs w:val="20"/>
                <w:color w:val="auto"/>
              </w:rPr>
            </w:pPr>
            <w:r>
              <w:rPr>
                <w:rFonts w:ascii="Arial" w:cs="Arial" w:eastAsia="Arial" w:hAnsi="Arial"/>
                <w:sz w:val="13"/>
                <w:szCs w:val="13"/>
                <w:color w:val="FFFFFE"/>
              </w:rPr>
              <w:t>103</w:t>
            </w:r>
          </w:p>
        </w:tc>
      </w:tr>
      <w:tr>
        <w:trPr>
          <w:trHeight w:val="414"/>
        </w:trPr>
        <w:tc>
          <w:tcPr>
            <w:tcW w:w="10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-12065</wp:posOffset>
            </wp:positionV>
            <wp:extent cx="1270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-496570</wp:posOffset>
            </wp:positionV>
            <wp:extent cx="1408430" cy="3333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04" w:name="page105"/>
    <w:bookmarkEnd w:id="104"/>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
        <w:spacing w:after="0"/>
        <w:rPr>
          <w:sz w:val="20"/>
          <w:szCs w:val="20"/>
          <w:color w:val="auto"/>
        </w:rPr>
      </w:pPr>
      <w:r>
        <w:rPr>
          <w:rFonts w:ascii="Arial" w:cs="Arial" w:eastAsia="Arial" w:hAnsi="Arial"/>
          <w:sz w:val="10"/>
          <w:szCs w:val="10"/>
          <w:b w:val="1"/>
          <w:bCs w:val="1"/>
          <w:color w:val="CCD9D9"/>
        </w:rPr>
        <w:t>EXECUTIVE COMPENSATION</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479EFF"/>
        </w:rPr>
        <w:t>Director Compensation for Fiscal Year 2020</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table sets forth information for compensation earned in fiscal year 2020 by our non-executive directors who served during fiscal year 2020:</w:t>
      </w:r>
    </w:p>
    <w:p>
      <w:pPr>
        <w:spacing w:after="0" w:line="141" w:lineRule="exact"/>
        <w:rPr>
          <w:sz w:val="20"/>
          <w:szCs w:val="20"/>
          <w:color w:val="auto"/>
        </w:rPr>
      </w:pPr>
    </w:p>
    <w:tbl>
      <w:tblPr>
        <w:tblLayout w:type="fixed"/>
        <w:tblInd w:w="2" w:type="dxa"/>
        <w:tblCellMar>
          <w:top w:w="0" w:type="dxa"/>
          <w:left w:w="0" w:type="dxa"/>
          <w:bottom w:w="0" w:type="dxa"/>
          <w:right w:w="0" w:type="dxa"/>
        </w:tblCellMar>
      </w:tblPr>
      <w:tr>
        <w:trPr>
          <w:trHeight w:val="117"/>
        </w:trPr>
        <w:tc>
          <w:tcPr>
            <w:tcW w:w="7100" w:type="dxa"/>
            <w:vAlign w:val="bottom"/>
          </w:tcPr>
          <w:p>
            <w:pPr>
              <w:spacing w:after="0"/>
              <w:rPr>
                <w:sz w:val="10"/>
                <w:szCs w:val="10"/>
                <w:color w:val="auto"/>
              </w:rPr>
            </w:pPr>
          </w:p>
        </w:tc>
        <w:tc>
          <w:tcPr>
            <w:tcW w:w="1100" w:type="dxa"/>
            <w:vAlign w:val="bottom"/>
          </w:tcPr>
          <w:p>
            <w:pPr>
              <w:jc w:val="center"/>
              <w:ind w:right="60"/>
              <w:spacing w:after="0"/>
              <w:rPr>
                <w:sz w:val="20"/>
                <w:szCs w:val="20"/>
                <w:color w:val="auto"/>
              </w:rPr>
            </w:pPr>
            <w:r>
              <w:rPr>
                <w:rFonts w:ascii="Arial" w:cs="Arial" w:eastAsia="Arial" w:hAnsi="Arial"/>
                <w:sz w:val="10"/>
                <w:szCs w:val="10"/>
                <w:b w:val="1"/>
                <w:bCs w:val="1"/>
                <w:color w:val="479EFF"/>
              </w:rPr>
              <w:t>Fees Earned or</w:t>
            </w:r>
          </w:p>
        </w:tc>
        <w:tc>
          <w:tcPr>
            <w:tcW w:w="1120" w:type="dxa"/>
            <w:vAlign w:val="bottom"/>
          </w:tcPr>
          <w:p>
            <w:pPr>
              <w:spacing w:after="0"/>
              <w:rPr>
                <w:sz w:val="10"/>
                <w:szCs w:val="10"/>
                <w:color w:val="auto"/>
              </w:rPr>
            </w:pPr>
          </w:p>
        </w:tc>
        <w:tc>
          <w:tcPr>
            <w:tcW w:w="1100" w:type="dxa"/>
            <w:vAlign w:val="bottom"/>
          </w:tcPr>
          <w:p>
            <w:pPr>
              <w:jc w:val="center"/>
              <w:ind w:right="80"/>
              <w:spacing w:after="0"/>
              <w:rPr>
                <w:sz w:val="20"/>
                <w:szCs w:val="20"/>
                <w:color w:val="auto"/>
              </w:rPr>
            </w:pPr>
            <w:r>
              <w:rPr>
                <w:rFonts w:ascii="Arial" w:cs="Arial" w:eastAsia="Arial" w:hAnsi="Arial"/>
                <w:sz w:val="10"/>
                <w:szCs w:val="10"/>
                <w:b w:val="1"/>
                <w:bCs w:val="1"/>
                <w:color w:val="479EFF"/>
              </w:rPr>
              <w:t>All Other</w:t>
            </w:r>
          </w:p>
        </w:tc>
        <w:tc>
          <w:tcPr>
            <w:tcW w:w="880" w:type="dxa"/>
            <w:vAlign w:val="bottom"/>
          </w:tcPr>
          <w:p>
            <w:pPr>
              <w:spacing w:after="0"/>
              <w:rPr>
                <w:sz w:val="10"/>
                <w:szCs w:val="10"/>
                <w:color w:val="auto"/>
              </w:rPr>
            </w:pPr>
          </w:p>
        </w:tc>
      </w:tr>
      <w:tr>
        <w:trPr>
          <w:trHeight w:val="125"/>
        </w:trPr>
        <w:tc>
          <w:tcPr>
            <w:tcW w:w="7100" w:type="dxa"/>
            <w:vAlign w:val="bottom"/>
          </w:tcPr>
          <w:p>
            <w:pPr>
              <w:spacing w:after="0"/>
              <w:rPr>
                <w:sz w:val="10"/>
                <w:szCs w:val="10"/>
                <w:color w:val="auto"/>
              </w:rPr>
            </w:pPr>
          </w:p>
        </w:tc>
        <w:tc>
          <w:tcPr>
            <w:tcW w:w="1100" w:type="dxa"/>
            <w:vAlign w:val="bottom"/>
          </w:tcPr>
          <w:p>
            <w:pPr>
              <w:jc w:val="center"/>
              <w:ind w:right="60"/>
              <w:spacing w:after="0"/>
              <w:rPr>
                <w:sz w:val="20"/>
                <w:szCs w:val="20"/>
                <w:color w:val="auto"/>
              </w:rPr>
            </w:pPr>
            <w:r>
              <w:rPr>
                <w:rFonts w:ascii="Arial" w:cs="Arial" w:eastAsia="Arial" w:hAnsi="Arial"/>
                <w:sz w:val="10"/>
                <w:szCs w:val="10"/>
                <w:b w:val="1"/>
                <w:bCs w:val="1"/>
                <w:color w:val="479EFF"/>
              </w:rPr>
              <w:t>Paid in Cash</w:t>
            </w:r>
          </w:p>
        </w:tc>
        <w:tc>
          <w:tcPr>
            <w:tcW w:w="1120" w:type="dxa"/>
            <w:vAlign w:val="bottom"/>
          </w:tcPr>
          <w:p>
            <w:pPr>
              <w:ind w:left="160"/>
              <w:spacing w:after="0"/>
              <w:rPr>
                <w:sz w:val="20"/>
                <w:szCs w:val="20"/>
                <w:color w:val="auto"/>
              </w:rPr>
            </w:pPr>
            <w:r>
              <w:rPr>
                <w:rFonts w:ascii="Arial" w:cs="Arial" w:eastAsia="Arial" w:hAnsi="Arial"/>
                <w:sz w:val="10"/>
                <w:szCs w:val="10"/>
                <w:b w:val="1"/>
                <w:bCs w:val="1"/>
                <w:color w:val="479EFF"/>
              </w:rPr>
              <w:t>Stock Awards</w:t>
            </w:r>
          </w:p>
        </w:tc>
        <w:tc>
          <w:tcPr>
            <w:tcW w:w="1100" w:type="dxa"/>
            <w:vAlign w:val="bottom"/>
          </w:tcPr>
          <w:p>
            <w:pPr>
              <w:jc w:val="center"/>
              <w:ind w:right="80"/>
              <w:spacing w:after="0"/>
              <w:rPr>
                <w:sz w:val="20"/>
                <w:szCs w:val="20"/>
                <w:color w:val="auto"/>
              </w:rPr>
            </w:pPr>
            <w:r>
              <w:rPr>
                <w:rFonts w:ascii="Arial" w:cs="Arial" w:eastAsia="Arial" w:hAnsi="Arial"/>
                <w:sz w:val="10"/>
                <w:szCs w:val="10"/>
                <w:b w:val="1"/>
                <w:bCs w:val="1"/>
                <w:color w:val="479EFF"/>
              </w:rPr>
              <w:t>Compensation</w:t>
            </w:r>
          </w:p>
        </w:tc>
        <w:tc>
          <w:tcPr>
            <w:tcW w:w="880" w:type="dxa"/>
            <w:vAlign w:val="bottom"/>
          </w:tcPr>
          <w:p>
            <w:pPr>
              <w:ind w:left="380"/>
              <w:spacing w:after="0"/>
              <w:rPr>
                <w:sz w:val="20"/>
                <w:szCs w:val="20"/>
                <w:color w:val="auto"/>
              </w:rPr>
            </w:pPr>
            <w:r>
              <w:rPr>
                <w:rFonts w:ascii="Arial" w:cs="Arial" w:eastAsia="Arial" w:hAnsi="Arial"/>
                <w:sz w:val="10"/>
                <w:szCs w:val="10"/>
                <w:b w:val="1"/>
                <w:bCs w:val="1"/>
                <w:color w:val="479EFF"/>
              </w:rPr>
              <w:t>Total</w:t>
            </w:r>
          </w:p>
        </w:tc>
      </w:tr>
      <w:tr>
        <w:trPr>
          <w:trHeight w:val="145"/>
        </w:trPr>
        <w:tc>
          <w:tcPr>
            <w:tcW w:w="7100" w:type="dxa"/>
            <w:vAlign w:val="bottom"/>
            <w:tcBorders>
              <w:bottom w:val="single" w:sz="8" w:color="479EFF"/>
            </w:tcBorders>
          </w:tcPr>
          <w:p>
            <w:pPr>
              <w:spacing w:after="0" w:line="136" w:lineRule="exact"/>
              <w:rPr>
                <w:sz w:val="20"/>
                <w:szCs w:val="20"/>
                <w:color w:val="auto"/>
              </w:rPr>
            </w:pPr>
            <w:r>
              <w:rPr>
                <w:rFonts w:ascii="Arial" w:cs="Arial" w:eastAsia="Arial" w:hAnsi="Arial"/>
                <w:sz w:val="10"/>
                <w:szCs w:val="10"/>
                <w:b w:val="1"/>
                <w:bCs w:val="1"/>
                <w:color w:val="479EFF"/>
              </w:rPr>
              <w:t>Name</w:t>
            </w:r>
            <w:r>
              <w:rPr>
                <w:rFonts w:ascii="Arial" w:cs="Arial" w:eastAsia="Arial" w:hAnsi="Arial"/>
                <w:sz w:val="15"/>
                <w:szCs w:val="15"/>
                <w:b w:val="1"/>
                <w:bCs w:val="1"/>
                <w:color w:val="479EFF"/>
                <w:vertAlign w:val="superscript"/>
              </w:rPr>
              <w:t>(1)</w:t>
            </w:r>
          </w:p>
        </w:tc>
        <w:tc>
          <w:tcPr>
            <w:tcW w:w="1100" w:type="dxa"/>
            <w:vAlign w:val="bottom"/>
            <w:tcBorders>
              <w:bottom w:val="single" w:sz="8" w:color="479EFF"/>
            </w:tcBorders>
          </w:tcPr>
          <w:p>
            <w:pPr>
              <w:jc w:val="center"/>
              <w:ind w:right="60"/>
              <w:spacing w:after="0" w:line="136" w:lineRule="exact"/>
              <w:rPr>
                <w:sz w:val="20"/>
                <w:szCs w:val="20"/>
                <w:color w:val="auto"/>
              </w:rPr>
            </w:pPr>
            <w:r>
              <w:rPr>
                <w:rFonts w:ascii="Arial" w:cs="Arial" w:eastAsia="Arial" w:hAnsi="Arial"/>
                <w:sz w:val="10"/>
                <w:szCs w:val="10"/>
                <w:b w:val="1"/>
                <w:bCs w:val="1"/>
                <w:color w:val="479EFF"/>
                <w:w w:val="89"/>
              </w:rPr>
              <w:t>($)</w:t>
            </w:r>
            <w:r>
              <w:rPr>
                <w:rFonts w:ascii="Arial" w:cs="Arial" w:eastAsia="Arial" w:hAnsi="Arial"/>
                <w:sz w:val="15"/>
                <w:szCs w:val="15"/>
                <w:b w:val="1"/>
                <w:bCs w:val="1"/>
                <w:color w:val="479EFF"/>
                <w:w w:val="89"/>
                <w:vertAlign w:val="superscript"/>
              </w:rPr>
              <w:t>(4)</w:t>
            </w:r>
          </w:p>
        </w:tc>
        <w:tc>
          <w:tcPr>
            <w:tcW w:w="1120" w:type="dxa"/>
            <w:vAlign w:val="bottom"/>
            <w:tcBorders>
              <w:bottom w:val="single" w:sz="8" w:color="479EFF"/>
            </w:tcBorders>
          </w:tcPr>
          <w:p>
            <w:pPr>
              <w:jc w:val="center"/>
              <w:ind w:right="61"/>
              <w:spacing w:after="0" w:line="136" w:lineRule="exact"/>
              <w:rPr>
                <w:sz w:val="20"/>
                <w:szCs w:val="20"/>
                <w:color w:val="auto"/>
              </w:rPr>
            </w:pPr>
            <w:r>
              <w:rPr>
                <w:rFonts w:ascii="Arial" w:cs="Arial" w:eastAsia="Arial" w:hAnsi="Arial"/>
                <w:sz w:val="15"/>
                <w:szCs w:val="15"/>
                <w:b w:val="1"/>
                <w:bCs w:val="1"/>
                <w:color w:val="479EFF"/>
                <w:vertAlign w:val="subscript"/>
              </w:rPr>
              <w:t>($)</w:t>
            </w:r>
            <w:r>
              <w:rPr>
                <w:rFonts w:ascii="Arial" w:cs="Arial" w:eastAsia="Arial" w:hAnsi="Arial"/>
                <w:sz w:val="7"/>
                <w:szCs w:val="7"/>
                <w:b w:val="1"/>
                <w:bCs w:val="1"/>
                <w:color w:val="479EFF"/>
              </w:rPr>
              <w:t>(5)(6)</w:t>
            </w:r>
          </w:p>
        </w:tc>
        <w:tc>
          <w:tcPr>
            <w:tcW w:w="1100" w:type="dxa"/>
            <w:vAlign w:val="bottom"/>
            <w:tcBorders>
              <w:bottom w:val="single" w:sz="8" w:color="479EFF"/>
            </w:tcBorders>
          </w:tcPr>
          <w:p>
            <w:pPr>
              <w:jc w:val="center"/>
              <w:ind w:right="60"/>
              <w:spacing w:after="0" w:line="136" w:lineRule="exact"/>
              <w:rPr>
                <w:sz w:val="20"/>
                <w:szCs w:val="20"/>
                <w:color w:val="auto"/>
              </w:rPr>
            </w:pPr>
            <w:r>
              <w:rPr>
                <w:rFonts w:ascii="Arial" w:cs="Arial" w:eastAsia="Arial" w:hAnsi="Arial"/>
                <w:sz w:val="10"/>
                <w:szCs w:val="10"/>
                <w:b w:val="1"/>
                <w:bCs w:val="1"/>
                <w:color w:val="479EFF"/>
                <w:w w:val="89"/>
              </w:rPr>
              <w:t>($)</w:t>
            </w:r>
            <w:r>
              <w:rPr>
                <w:rFonts w:ascii="Arial" w:cs="Arial" w:eastAsia="Arial" w:hAnsi="Arial"/>
                <w:sz w:val="15"/>
                <w:szCs w:val="15"/>
                <w:b w:val="1"/>
                <w:bCs w:val="1"/>
                <w:color w:val="479EFF"/>
                <w:w w:val="89"/>
                <w:vertAlign w:val="superscript"/>
              </w:rPr>
              <w:t>(2)</w:t>
            </w:r>
          </w:p>
        </w:tc>
        <w:tc>
          <w:tcPr>
            <w:tcW w:w="880" w:type="dxa"/>
            <w:vAlign w:val="bottom"/>
            <w:tcBorders>
              <w:bottom w:val="single" w:sz="8" w:color="479EFF"/>
            </w:tcBorders>
          </w:tcPr>
          <w:p>
            <w:pPr>
              <w:jc w:val="center"/>
              <w:ind w:left="39"/>
              <w:spacing w:after="0"/>
              <w:rPr>
                <w:sz w:val="20"/>
                <w:szCs w:val="20"/>
                <w:color w:val="auto"/>
              </w:rPr>
            </w:pPr>
            <w:r>
              <w:rPr>
                <w:rFonts w:ascii="Arial" w:cs="Arial" w:eastAsia="Arial" w:hAnsi="Arial"/>
                <w:sz w:val="10"/>
                <w:szCs w:val="10"/>
                <w:b w:val="1"/>
                <w:bCs w:val="1"/>
                <w:color w:val="479EFF"/>
              </w:rPr>
              <w:t>($)</w:t>
            </w:r>
          </w:p>
        </w:tc>
      </w:tr>
      <w:tr>
        <w:trPr>
          <w:trHeight w:val="146"/>
        </w:trPr>
        <w:tc>
          <w:tcPr>
            <w:tcW w:w="710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David Kelso</w:t>
            </w:r>
          </w:p>
        </w:tc>
        <w:tc>
          <w:tcPr>
            <w:tcW w:w="1100" w:type="dxa"/>
            <w:vAlign w:val="bottom"/>
            <w:tcBorders>
              <w:bottom w:val="single" w:sz="8" w:color="auto"/>
              <w:right w:val="single" w:sz="8" w:color="auto"/>
            </w:tcBorders>
          </w:tcPr>
          <w:p>
            <w:pPr>
              <w:jc w:val="center"/>
              <w:ind w:right="60"/>
              <w:spacing w:after="0" w:line="146" w:lineRule="exact"/>
              <w:rPr>
                <w:sz w:val="20"/>
                <w:szCs w:val="20"/>
                <w:color w:val="auto"/>
              </w:rPr>
            </w:pPr>
            <w:r>
              <w:rPr>
                <w:rFonts w:ascii="Arial" w:cs="Arial" w:eastAsia="Arial" w:hAnsi="Arial"/>
                <w:sz w:val="13"/>
                <w:szCs w:val="13"/>
                <w:color w:val="auto"/>
                <w:w w:val="95"/>
              </w:rPr>
              <w:t>83,250</w:t>
            </w:r>
          </w:p>
        </w:tc>
        <w:tc>
          <w:tcPr>
            <w:tcW w:w="1120" w:type="dxa"/>
            <w:vAlign w:val="bottom"/>
            <w:tcBorders>
              <w:bottom w:val="single" w:sz="8" w:color="auto"/>
              <w:right w:val="single" w:sz="8" w:color="auto"/>
            </w:tcBorders>
          </w:tcPr>
          <w:p>
            <w:pPr>
              <w:jc w:val="center"/>
              <w:ind w:right="81"/>
              <w:spacing w:after="0" w:line="146" w:lineRule="exact"/>
              <w:rPr>
                <w:sz w:val="20"/>
                <w:szCs w:val="20"/>
                <w:color w:val="auto"/>
              </w:rPr>
            </w:pPr>
            <w:r>
              <w:rPr>
                <w:rFonts w:ascii="Arial" w:cs="Arial" w:eastAsia="Arial" w:hAnsi="Arial"/>
                <w:sz w:val="13"/>
                <w:szCs w:val="13"/>
                <w:color w:val="auto"/>
                <w:w w:val="97"/>
              </w:rPr>
              <w:t>140,000</w:t>
            </w:r>
          </w:p>
        </w:tc>
        <w:tc>
          <w:tcPr>
            <w:tcW w:w="1100" w:type="dxa"/>
            <w:vAlign w:val="bottom"/>
            <w:tcBorders>
              <w:bottom w:val="single" w:sz="8" w:color="auto"/>
              <w:right w:val="single" w:sz="8" w:color="auto"/>
            </w:tcBorders>
          </w:tcPr>
          <w:p>
            <w:pPr>
              <w:jc w:val="center"/>
              <w:ind w:right="80"/>
              <w:spacing w:after="0" w:line="146" w:lineRule="exact"/>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auto"/>
            </w:tcBorders>
          </w:tcPr>
          <w:p>
            <w:pPr>
              <w:jc w:val="center"/>
              <w:ind w:left="39"/>
              <w:spacing w:after="0" w:line="146" w:lineRule="exact"/>
              <w:rPr>
                <w:sz w:val="20"/>
                <w:szCs w:val="20"/>
                <w:color w:val="auto"/>
              </w:rPr>
            </w:pPr>
            <w:r>
              <w:rPr>
                <w:rFonts w:ascii="Arial" w:cs="Arial" w:eastAsia="Arial" w:hAnsi="Arial"/>
                <w:sz w:val="13"/>
                <w:szCs w:val="13"/>
                <w:color w:val="auto"/>
                <w:w w:val="97"/>
              </w:rPr>
              <w:t>193,250</w:t>
            </w:r>
          </w:p>
        </w:tc>
      </w:tr>
      <w:tr>
        <w:trPr>
          <w:trHeight w:val="136"/>
        </w:trPr>
        <w:tc>
          <w:tcPr>
            <w:tcW w:w="71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Deborah Kerr</w:t>
            </w:r>
          </w:p>
        </w:tc>
        <w:tc>
          <w:tcPr>
            <w:tcW w:w="1100" w:type="dxa"/>
            <w:vAlign w:val="bottom"/>
            <w:tcBorders>
              <w:bottom w:val="single" w:sz="8" w:color="auto"/>
              <w:right w:val="single" w:sz="8" w:color="auto"/>
            </w:tcBorders>
          </w:tcPr>
          <w:p>
            <w:pPr>
              <w:jc w:val="center"/>
              <w:ind w:right="60"/>
              <w:spacing w:after="0" w:line="136" w:lineRule="exact"/>
              <w:rPr>
                <w:sz w:val="20"/>
                <w:szCs w:val="20"/>
                <w:color w:val="auto"/>
              </w:rPr>
            </w:pPr>
            <w:r>
              <w:rPr>
                <w:rFonts w:ascii="Arial" w:cs="Arial" w:eastAsia="Arial" w:hAnsi="Arial"/>
                <w:sz w:val="13"/>
                <w:szCs w:val="13"/>
                <w:color w:val="auto"/>
                <w:w w:val="95"/>
              </w:rPr>
              <w:t>72,000</w:t>
            </w:r>
          </w:p>
        </w:tc>
        <w:tc>
          <w:tcPr>
            <w:tcW w:w="1120" w:type="dxa"/>
            <w:vAlign w:val="bottom"/>
            <w:tcBorders>
              <w:bottom w:val="single" w:sz="8" w:color="auto"/>
              <w:right w:val="single" w:sz="8" w:color="auto"/>
            </w:tcBorders>
          </w:tcPr>
          <w:p>
            <w:pPr>
              <w:jc w:val="center"/>
              <w:ind w:right="81"/>
              <w:spacing w:after="0" w:line="136" w:lineRule="exact"/>
              <w:rPr>
                <w:sz w:val="20"/>
                <w:szCs w:val="20"/>
                <w:color w:val="auto"/>
              </w:rPr>
            </w:pPr>
            <w:r>
              <w:rPr>
                <w:rFonts w:ascii="Arial" w:cs="Arial" w:eastAsia="Arial" w:hAnsi="Arial"/>
                <w:sz w:val="13"/>
                <w:szCs w:val="13"/>
                <w:color w:val="auto"/>
                <w:w w:val="97"/>
              </w:rPr>
              <w:t>140,000</w:t>
            </w:r>
          </w:p>
        </w:tc>
        <w:tc>
          <w:tcPr>
            <w:tcW w:w="110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auto"/>
            </w:tcBorders>
          </w:tcPr>
          <w:p>
            <w:pPr>
              <w:jc w:val="center"/>
              <w:ind w:left="39"/>
              <w:spacing w:after="0" w:line="136" w:lineRule="exact"/>
              <w:rPr>
                <w:sz w:val="20"/>
                <w:szCs w:val="20"/>
                <w:color w:val="auto"/>
              </w:rPr>
            </w:pPr>
            <w:r>
              <w:rPr>
                <w:rFonts w:ascii="Arial" w:cs="Arial" w:eastAsia="Arial" w:hAnsi="Arial"/>
                <w:sz w:val="13"/>
                <w:szCs w:val="13"/>
                <w:color w:val="auto"/>
                <w:w w:val="97"/>
              </w:rPr>
              <w:t>182,000</w:t>
            </w:r>
          </w:p>
        </w:tc>
      </w:tr>
      <w:tr>
        <w:trPr>
          <w:trHeight w:val="136"/>
        </w:trPr>
        <w:tc>
          <w:tcPr>
            <w:tcW w:w="71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Anne Minto</w:t>
            </w:r>
          </w:p>
        </w:tc>
        <w:tc>
          <w:tcPr>
            <w:tcW w:w="1100" w:type="dxa"/>
            <w:vAlign w:val="bottom"/>
            <w:tcBorders>
              <w:bottom w:val="single" w:sz="8" w:color="auto"/>
              <w:right w:val="single" w:sz="8" w:color="auto"/>
            </w:tcBorders>
          </w:tcPr>
          <w:p>
            <w:pPr>
              <w:jc w:val="center"/>
              <w:ind w:right="60"/>
              <w:spacing w:after="0" w:line="136" w:lineRule="exact"/>
              <w:rPr>
                <w:sz w:val="20"/>
                <w:szCs w:val="20"/>
                <w:color w:val="auto"/>
              </w:rPr>
            </w:pPr>
            <w:r>
              <w:rPr>
                <w:rFonts w:ascii="Arial" w:cs="Arial" w:eastAsia="Arial" w:hAnsi="Arial"/>
                <w:sz w:val="13"/>
                <w:szCs w:val="13"/>
                <w:color w:val="auto"/>
                <w:w w:val="95"/>
              </w:rPr>
              <w:t>81,000</w:t>
            </w:r>
          </w:p>
        </w:tc>
        <w:tc>
          <w:tcPr>
            <w:tcW w:w="1120" w:type="dxa"/>
            <w:vAlign w:val="bottom"/>
            <w:tcBorders>
              <w:bottom w:val="single" w:sz="8" w:color="auto"/>
              <w:right w:val="single" w:sz="8" w:color="auto"/>
            </w:tcBorders>
          </w:tcPr>
          <w:p>
            <w:pPr>
              <w:jc w:val="center"/>
              <w:ind w:right="81"/>
              <w:spacing w:after="0" w:line="136" w:lineRule="exact"/>
              <w:rPr>
                <w:sz w:val="20"/>
                <w:szCs w:val="20"/>
                <w:color w:val="auto"/>
              </w:rPr>
            </w:pPr>
            <w:r>
              <w:rPr>
                <w:rFonts w:ascii="Arial" w:cs="Arial" w:eastAsia="Arial" w:hAnsi="Arial"/>
                <w:sz w:val="13"/>
                <w:szCs w:val="13"/>
                <w:color w:val="auto"/>
                <w:w w:val="97"/>
              </w:rPr>
              <w:t>140,000</w:t>
            </w:r>
          </w:p>
        </w:tc>
        <w:tc>
          <w:tcPr>
            <w:tcW w:w="110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rPr>
              <w:t>12,123</w:t>
            </w:r>
          </w:p>
        </w:tc>
        <w:tc>
          <w:tcPr>
            <w:tcW w:w="880" w:type="dxa"/>
            <w:vAlign w:val="bottom"/>
            <w:tcBorders>
              <w:bottom w:val="single" w:sz="8" w:color="auto"/>
            </w:tcBorders>
          </w:tcPr>
          <w:p>
            <w:pPr>
              <w:jc w:val="center"/>
              <w:ind w:left="39"/>
              <w:spacing w:after="0" w:line="136" w:lineRule="exact"/>
              <w:rPr>
                <w:sz w:val="20"/>
                <w:szCs w:val="20"/>
                <w:color w:val="auto"/>
              </w:rPr>
            </w:pPr>
            <w:r>
              <w:rPr>
                <w:rFonts w:ascii="Arial" w:cs="Arial" w:eastAsia="Arial" w:hAnsi="Arial"/>
                <w:sz w:val="13"/>
                <w:szCs w:val="13"/>
                <w:color w:val="auto"/>
                <w:w w:val="97"/>
              </w:rPr>
              <w:t>203,123</w:t>
            </w:r>
          </w:p>
        </w:tc>
      </w:tr>
      <w:tr>
        <w:trPr>
          <w:trHeight w:val="136"/>
        </w:trPr>
        <w:tc>
          <w:tcPr>
            <w:tcW w:w="71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Som Mittal</w:t>
            </w:r>
          </w:p>
        </w:tc>
        <w:tc>
          <w:tcPr>
            <w:tcW w:w="1100" w:type="dxa"/>
            <w:vAlign w:val="bottom"/>
            <w:tcBorders>
              <w:bottom w:val="single" w:sz="8" w:color="auto"/>
              <w:right w:val="single" w:sz="8" w:color="auto"/>
            </w:tcBorders>
          </w:tcPr>
          <w:p>
            <w:pPr>
              <w:jc w:val="center"/>
              <w:ind w:right="60"/>
              <w:spacing w:after="0" w:line="136" w:lineRule="exact"/>
              <w:rPr>
                <w:sz w:val="20"/>
                <w:szCs w:val="20"/>
                <w:color w:val="auto"/>
              </w:rPr>
            </w:pPr>
            <w:r>
              <w:rPr>
                <w:rFonts w:ascii="Arial" w:cs="Arial" w:eastAsia="Arial" w:hAnsi="Arial"/>
                <w:sz w:val="13"/>
                <w:szCs w:val="13"/>
                <w:color w:val="auto"/>
                <w:w w:val="95"/>
              </w:rPr>
              <w:t>72,000</w:t>
            </w:r>
          </w:p>
        </w:tc>
        <w:tc>
          <w:tcPr>
            <w:tcW w:w="1120" w:type="dxa"/>
            <w:vAlign w:val="bottom"/>
            <w:tcBorders>
              <w:bottom w:val="single" w:sz="8" w:color="auto"/>
              <w:right w:val="single" w:sz="8" w:color="auto"/>
            </w:tcBorders>
          </w:tcPr>
          <w:p>
            <w:pPr>
              <w:jc w:val="center"/>
              <w:ind w:right="81"/>
              <w:spacing w:after="0" w:line="136" w:lineRule="exact"/>
              <w:rPr>
                <w:sz w:val="20"/>
                <w:szCs w:val="20"/>
                <w:color w:val="auto"/>
              </w:rPr>
            </w:pPr>
            <w:r>
              <w:rPr>
                <w:rFonts w:ascii="Arial" w:cs="Arial" w:eastAsia="Arial" w:hAnsi="Arial"/>
                <w:sz w:val="13"/>
                <w:szCs w:val="13"/>
                <w:color w:val="auto"/>
                <w:w w:val="97"/>
              </w:rPr>
              <w:t>140,000</w:t>
            </w:r>
          </w:p>
        </w:tc>
        <w:tc>
          <w:tcPr>
            <w:tcW w:w="110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8"/>
              </w:rPr>
              <w:t>7,501</w:t>
            </w:r>
          </w:p>
        </w:tc>
        <w:tc>
          <w:tcPr>
            <w:tcW w:w="880" w:type="dxa"/>
            <w:vAlign w:val="bottom"/>
            <w:tcBorders>
              <w:bottom w:val="single" w:sz="8" w:color="auto"/>
            </w:tcBorders>
          </w:tcPr>
          <w:p>
            <w:pPr>
              <w:jc w:val="center"/>
              <w:ind w:left="39"/>
              <w:spacing w:after="0" w:line="136" w:lineRule="exact"/>
              <w:rPr>
                <w:sz w:val="20"/>
                <w:szCs w:val="20"/>
                <w:color w:val="auto"/>
              </w:rPr>
            </w:pPr>
            <w:r>
              <w:rPr>
                <w:rFonts w:ascii="Arial" w:cs="Arial" w:eastAsia="Arial" w:hAnsi="Arial"/>
                <w:sz w:val="13"/>
                <w:szCs w:val="13"/>
                <w:color w:val="auto"/>
                <w:w w:val="97"/>
              </w:rPr>
              <w:t>189,501</w:t>
            </w:r>
          </w:p>
        </w:tc>
      </w:tr>
      <w:tr>
        <w:trPr>
          <w:trHeight w:val="136"/>
        </w:trPr>
        <w:tc>
          <w:tcPr>
            <w:tcW w:w="71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Clyde Ostler</w:t>
            </w:r>
          </w:p>
        </w:tc>
        <w:tc>
          <w:tcPr>
            <w:tcW w:w="1100" w:type="dxa"/>
            <w:vAlign w:val="bottom"/>
            <w:tcBorders>
              <w:bottom w:val="single" w:sz="8" w:color="auto"/>
              <w:right w:val="single" w:sz="8" w:color="auto"/>
            </w:tcBorders>
          </w:tcPr>
          <w:p>
            <w:pPr>
              <w:jc w:val="center"/>
              <w:ind w:right="60"/>
              <w:spacing w:after="0" w:line="136" w:lineRule="exact"/>
              <w:rPr>
                <w:sz w:val="20"/>
                <w:szCs w:val="20"/>
                <w:color w:val="auto"/>
              </w:rPr>
            </w:pPr>
            <w:r>
              <w:rPr>
                <w:rFonts w:ascii="Arial" w:cs="Arial" w:eastAsia="Arial" w:hAnsi="Arial"/>
                <w:sz w:val="13"/>
                <w:szCs w:val="13"/>
                <w:color w:val="auto"/>
                <w:w w:val="95"/>
              </w:rPr>
              <w:t>85,500</w:t>
            </w:r>
          </w:p>
        </w:tc>
        <w:tc>
          <w:tcPr>
            <w:tcW w:w="1120" w:type="dxa"/>
            <w:vAlign w:val="bottom"/>
            <w:tcBorders>
              <w:bottom w:val="single" w:sz="8" w:color="auto"/>
              <w:right w:val="single" w:sz="8" w:color="auto"/>
            </w:tcBorders>
          </w:tcPr>
          <w:p>
            <w:pPr>
              <w:jc w:val="center"/>
              <w:ind w:right="81"/>
              <w:spacing w:after="0" w:line="136" w:lineRule="exact"/>
              <w:rPr>
                <w:sz w:val="20"/>
                <w:szCs w:val="20"/>
                <w:color w:val="auto"/>
              </w:rPr>
            </w:pPr>
            <w:r>
              <w:rPr>
                <w:rFonts w:ascii="Arial" w:cs="Arial" w:eastAsia="Arial" w:hAnsi="Arial"/>
                <w:sz w:val="13"/>
                <w:szCs w:val="13"/>
                <w:color w:val="auto"/>
                <w:w w:val="97"/>
              </w:rPr>
              <w:t>140,000</w:t>
            </w:r>
          </w:p>
        </w:tc>
        <w:tc>
          <w:tcPr>
            <w:tcW w:w="110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auto"/>
            </w:tcBorders>
          </w:tcPr>
          <w:p>
            <w:pPr>
              <w:jc w:val="center"/>
              <w:ind w:left="39"/>
              <w:spacing w:after="0" w:line="136" w:lineRule="exact"/>
              <w:rPr>
                <w:sz w:val="20"/>
                <w:szCs w:val="20"/>
                <w:color w:val="auto"/>
              </w:rPr>
            </w:pPr>
            <w:r>
              <w:rPr>
                <w:rFonts w:ascii="Arial" w:cs="Arial" w:eastAsia="Arial" w:hAnsi="Arial"/>
                <w:sz w:val="13"/>
                <w:szCs w:val="13"/>
                <w:color w:val="auto"/>
                <w:w w:val="97"/>
              </w:rPr>
              <w:t>195,500</w:t>
            </w:r>
          </w:p>
        </w:tc>
      </w:tr>
      <w:tr>
        <w:trPr>
          <w:trHeight w:val="165"/>
        </w:trPr>
        <w:tc>
          <w:tcPr>
            <w:tcW w:w="7100" w:type="dxa"/>
            <w:vAlign w:val="bottom"/>
            <w:tcBorders>
              <w:bottom w:val="single" w:sz="8" w:color="auto"/>
              <w:right w:val="single" w:sz="8" w:color="auto"/>
            </w:tcBorders>
          </w:tcPr>
          <w:p>
            <w:pPr>
              <w:spacing w:after="0" w:line="165" w:lineRule="exact"/>
              <w:rPr>
                <w:sz w:val="20"/>
                <w:szCs w:val="20"/>
                <w:color w:val="auto"/>
              </w:rPr>
            </w:pPr>
            <w:r>
              <w:rPr>
                <w:rFonts w:ascii="Arial" w:cs="Arial" w:eastAsia="Arial" w:hAnsi="Arial"/>
                <w:sz w:val="12"/>
                <w:szCs w:val="12"/>
                <w:b w:val="1"/>
                <w:bCs w:val="1"/>
                <w:color w:val="auto"/>
              </w:rPr>
              <w:t>Vikram Pandit</w:t>
            </w:r>
            <w:r>
              <w:rPr>
                <w:rFonts w:ascii="Arial" w:cs="Arial" w:eastAsia="Arial" w:hAnsi="Arial"/>
                <w:sz w:val="19"/>
                <w:szCs w:val="19"/>
                <w:b w:val="1"/>
                <w:bCs w:val="1"/>
                <w:color w:val="auto"/>
                <w:vertAlign w:val="superscript"/>
              </w:rPr>
              <w:t>(3)</w:t>
            </w:r>
          </w:p>
        </w:tc>
        <w:tc>
          <w:tcPr>
            <w:tcW w:w="1100" w:type="dxa"/>
            <w:vAlign w:val="bottom"/>
            <w:tcBorders>
              <w:bottom w:val="single" w:sz="8" w:color="auto"/>
              <w:right w:val="single" w:sz="8" w:color="auto"/>
            </w:tcBorders>
          </w:tcPr>
          <w:p>
            <w:pPr>
              <w:jc w:val="center"/>
              <w:ind w:right="60"/>
              <w:spacing w:after="0"/>
              <w:rPr>
                <w:sz w:val="20"/>
                <w:szCs w:val="20"/>
                <w:color w:val="auto"/>
              </w:rPr>
            </w:pPr>
            <w:r>
              <w:rPr>
                <w:rFonts w:ascii="Arial" w:cs="Arial" w:eastAsia="Arial" w:hAnsi="Arial"/>
                <w:sz w:val="13"/>
                <w:szCs w:val="13"/>
                <w:color w:val="auto"/>
                <w:w w:val="95"/>
              </w:rPr>
              <w:t>65,250</w:t>
            </w:r>
          </w:p>
        </w:tc>
        <w:tc>
          <w:tcPr>
            <w:tcW w:w="112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3"/>
                <w:szCs w:val="13"/>
                <w:color w:val="auto"/>
                <w:w w:val="97"/>
              </w:rPr>
              <w:t>140,000</w:t>
            </w:r>
          </w:p>
        </w:tc>
        <w:tc>
          <w:tcPr>
            <w:tcW w:w="1100" w:type="dxa"/>
            <w:vAlign w:val="bottom"/>
            <w:tcBorders>
              <w:bottom w:val="single" w:sz="8" w:color="auto"/>
              <w:right w:val="single" w:sz="8" w:color="auto"/>
            </w:tcBorders>
          </w:tcPr>
          <w:p>
            <w:pPr>
              <w:jc w:val="center"/>
              <w:ind w:right="80"/>
              <w:spacing w:after="0"/>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auto"/>
            </w:tcBorders>
          </w:tcPr>
          <w:p>
            <w:pPr>
              <w:jc w:val="center"/>
              <w:ind w:left="39"/>
              <w:spacing w:after="0"/>
              <w:rPr>
                <w:sz w:val="20"/>
                <w:szCs w:val="20"/>
                <w:color w:val="auto"/>
              </w:rPr>
            </w:pPr>
            <w:r>
              <w:rPr>
                <w:rFonts w:ascii="Arial" w:cs="Arial" w:eastAsia="Arial" w:hAnsi="Arial"/>
                <w:sz w:val="13"/>
                <w:szCs w:val="13"/>
                <w:color w:val="auto"/>
                <w:w w:val="97"/>
              </w:rPr>
              <w:t>175,250</w:t>
            </w:r>
          </w:p>
        </w:tc>
      </w:tr>
      <w:tr>
        <w:trPr>
          <w:trHeight w:val="136"/>
        </w:trPr>
        <w:tc>
          <w:tcPr>
            <w:tcW w:w="71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Nitin Sahney</w:t>
            </w:r>
          </w:p>
        </w:tc>
        <w:tc>
          <w:tcPr>
            <w:tcW w:w="1100" w:type="dxa"/>
            <w:vAlign w:val="bottom"/>
            <w:tcBorders>
              <w:bottom w:val="single" w:sz="8" w:color="auto"/>
              <w:right w:val="single" w:sz="8" w:color="auto"/>
            </w:tcBorders>
          </w:tcPr>
          <w:p>
            <w:pPr>
              <w:jc w:val="center"/>
              <w:ind w:right="60"/>
              <w:spacing w:after="0" w:line="136" w:lineRule="exact"/>
              <w:rPr>
                <w:sz w:val="20"/>
                <w:szCs w:val="20"/>
                <w:color w:val="auto"/>
              </w:rPr>
            </w:pPr>
            <w:r>
              <w:rPr>
                <w:rFonts w:ascii="Arial" w:cs="Arial" w:eastAsia="Arial" w:hAnsi="Arial"/>
                <w:sz w:val="13"/>
                <w:szCs w:val="13"/>
                <w:color w:val="auto"/>
                <w:w w:val="95"/>
              </w:rPr>
              <w:t>74,250</w:t>
            </w:r>
          </w:p>
        </w:tc>
        <w:tc>
          <w:tcPr>
            <w:tcW w:w="1120" w:type="dxa"/>
            <w:vAlign w:val="bottom"/>
            <w:tcBorders>
              <w:bottom w:val="single" w:sz="8" w:color="auto"/>
              <w:right w:val="single" w:sz="8" w:color="auto"/>
            </w:tcBorders>
          </w:tcPr>
          <w:p>
            <w:pPr>
              <w:jc w:val="center"/>
              <w:ind w:right="81"/>
              <w:spacing w:after="0" w:line="136" w:lineRule="exact"/>
              <w:rPr>
                <w:sz w:val="20"/>
                <w:szCs w:val="20"/>
                <w:color w:val="auto"/>
              </w:rPr>
            </w:pPr>
            <w:r>
              <w:rPr>
                <w:rFonts w:ascii="Arial" w:cs="Arial" w:eastAsia="Arial" w:hAnsi="Arial"/>
                <w:sz w:val="13"/>
                <w:szCs w:val="13"/>
                <w:color w:val="auto"/>
                <w:w w:val="97"/>
              </w:rPr>
              <w:t>140,000</w:t>
            </w:r>
          </w:p>
        </w:tc>
        <w:tc>
          <w:tcPr>
            <w:tcW w:w="110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auto"/>
            </w:tcBorders>
          </w:tcPr>
          <w:p>
            <w:pPr>
              <w:jc w:val="center"/>
              <w:ind w:left="39"/>
              <w:spacing w:after="0" w:line="136" w:lineRule="exact"/>
              <w:rPr>
                <w:sz w:val="20"/>
                <w:szCs w:val="20"/>
                <w:color w:val="auto"/>
              </w:rPr>
            </w:pPr>
            <w:r>
              <w:rPr>
                <w:rFonts w:ascii="Arial" w:cs="Arial" w:eastAsia="Arial" w:hAnsi="Arial"/>
                <w:sz w:val="13"/>
                <w:szCs w:val="13"/>
                <w:color w:val="auto"/>
                <w:w w:val="97"/>
              </w:rPr>
              <w:t>184,250</w:t>
            </w:r>
          </w:p>
        </w:tc>
      </w:tr>
      <w:tr>
        <w:trPr>
          <w:trHeight w:val="136"/>
        </w:trPr>
        <w:tc>
          <w:tcPr>
            <w:tcW w:w="710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Garen Staglin</w:t>
            </w:r>
          </w:p>
        </w:tc>
        <w:tc>
          <w:tcPr>
            <w:tcW w:w="1100" w:type="dxa"/>
            <w:vAlign w:val="bottom"/>
            <w:tcBorders>
              <w:bottom w:val="single" w:sz="8" w:color="auto"/>
              <w:right w:val="single" w:sz="8" w:color="auto"/>
            </w:tcBorders>
          </w:tcPr>
          <w:p>
            <w:pPr>
              <w:jc w:val="center"/>
              <w:ind w:right="60"/>
              <w:spacing w:after="0" w:line="136" w:lineRule="exact"/>
              <w:rPr>
                <w:sz w:val="20"/>
                <w:szCs w:val="20"/>
                <w:color w:val="auto"/>
              </w:rPr>
            </w:pPr>
            <w:r>
              <w:rPr>
                <w:rFonts w:ascii="Arial" w:cs="Arial" w:eastAsia="Arial" w:hAnsi="Arial"/>
                <w:sz w:val="13"/>
                <w:szCs w:val="13"/>
                <w:color w:val="auto"/>
                <w:w w:val="97"/>
              </w:rPr>
              <w:t>162,000</w:t>
            </w:r>
          </w:p>
        </w:tc>
        <w:tc>
          <w:tcPr>
            <w:tcW w:w="1120" w:type="dxa"/>
            <w:vAlign w:val="bottom"/>
            <w:tcBorders>
              <w:bottom w:val="single" w:sz="8" w:color="auto"/>
              <w:right w:val="single" w:sz="8" w:color="auto"/>
            </w:tcBorders>
          </w:tcPr>
          <w:p>
            <w:pPr>
              <w:jc w:val="center"/>
              <w:ind w:right="81"/>
              <w:spacing w:after="0" w:line="136" w:lineRule="exact"/>
              <w:rPr>
                <w:sz w:val="20"/>
                <w:szCs w:val="20"/>
                <w:color w:val="auto"/>
              </w:rPr>
            </w:pPr>
            <w:r>
              <w:rPr>
                <w:rFonts w:ascii="Arial" w:cs="Arial" w:eastAsia="Arial" w:hAnsi="Arial"/>
                <w:sz w:val="13"/>
                <w:szCs w:val="13"/>
                <w:color w:val="auto"/>
                <w:w w:val="97"/>
              </w:rPr>
              <w:t>240,000</w:t>
            </w:r>
          </w:p>
        </w:tc>
        <w:tc>
          <w:tcPr>
            <w:tcW w:w="1100" w:type="dxa"/>
            <w:vAlign w:val="bottom"/>
            <w:tcBorders>
              <w:bottom w:val="single" w:sz="8" w:color="auto"/>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rPr>
              <w:t>52,345</w:t>
            </w:r>
          </w:p>
        </w:tc>
        <w:tc>
          <w:tcPr>
            <w:tcW w:w="880" w:type="dxa"/>
            <w:vAlign w:val="bottom"/>
            <w:tcBorders>
              <w:bottom w:val="single" w:sz="8" w:color="auto"/>
            </w:tcBorders>
          </w:tcPr>
          <w:p>
            <w:pPr>
              <w:jc w:val="center"/>
              <w:ind w:left="39"/>
              <w:spacing w:after="0" w:line="136" w:lineRule="exact"/>
              <w:rPr>
                <w:sz w:val="20"/>
                <w:szCs w:val="20"/>
                <w:color w:val="auto"/>
              </w:rPr>
            </w:pPr>
            <w:r>
              <w:rPr>
                <w:rFonts w:ascii="Arial" w:cs="Arial" w:eastAsia="Arial" w:hAnsi="Arial"/>
                <w:sz w:val="13"/>
                <w:szCs w:val="13"/>
                <w:color w:val="auto"/>
                <w:w w:val="97"/>
              </w:rPr>
              <w:t>424,345</w:t>
            </w:r>
          </w:p>
        </w:tc>
      </w:tr>
      <w:tr>
        <w:trPr>
          <w:trHeight w:val="145"/>
        </w:trPr>
        <w:tc>
          <w:tcPr>
            <w:tcW w:w="710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Jaynie Studenmund</w:t>
            </w:r>
          </w:p>
        </w:tc>
        <w:tc>
          <w:tcPr>
            <w:tcW w:w="1100" w:type="dxa"/>
            <w:vAlign w:val="bottom"/>
            <w:tcBorders>
              <w:bottom w:val="single" w:sz="8" w:color="479EFF"/>
              <w:right w:val="single" w:sz="8" w:color="auto"/>
            </w:tcBorders>
          </w:tcPr>
          <w:p>
            <w:pPr>
              <w:jc w:val="center"/>
              <w:ind w:right="60"/>
              <w:spacing w:after="0" w:line="136" w:lineRule="exact"/>
              <w:rPr>
                <w:sz w:val="20"/>
                <w:szCs w:val="20"/>
                <w:color w:val="auto"/>
              </w:rPr>
            </w:pPr>
            <w:r>
              <w:rPr>
                <w:rFonts w:ascii="Arial" w:cs="Arial" w:eastAsia="Arial" w:hAnsi="Arial"/>
                <w:sz w:val="13"/>
                <w:szCs w:val="13"/>
                <w:color w:val="auto"/>
                <w:w w:val="95"/>
              </w:rPr>
              <w:t>74,250</w:t>
            </w:r>
          </w:p>
        </w:tc>
        <w:tc>
          <w:tcPr>
            <w:tcW w:w="1120" w:type="dxa"/>
            <w:vAlign w:val="bottom"/>
            <w:tcBorders>
              <w:bottom w:val="single" w:sz="8" w:color="479EFF"/>
              <w:right w:val="single" w:sz="8" w:color="auto"/>
            </w:tcBorders>
          </w:tcPr>
          <w:p>
            <w:pPr>
              <w:jc w:val="center"/>
              <w:ind w:right="81"/>
              <w:spacing w:after="0" w:line="136" w:lineRule="exact"/>
              <w:rPr>
                <w:sz w:val="20"/>
                <w:szCs w:val="20"/>
                <w:color w:val="auto"/>
              </w:rPr>
            </w:pPr>
            <w:r>
              <w:rPr>
                <w:rFonts w:ascii="Arial" w:cs="Arial" w:eastAsia="Arial" w:hAnsi="Arial"/>
                <w:sz w:val="13"/>
                <w:szCs w:val="13"/>
                <w:color w:val="auto"/>
                <w:w w:val="97"/>
              </w:rPr>
              <w:t>140,000</w:t>
            </w:r>
          </w:p>
        </w:tc>
        <w:tc>
          <w:tcPr>
            <w:tcW w:w="1100" w:type="dxa"/>
            <w:vAlign w:val="bottom"/>
            <w:tcBorders>
              <w:bottom w:val="single" w:sz="8" w:color="479EFF"/>
              <w:right w:val="single" w:sz="8" w:color="auto"/>
            </w:tcBorders>
          </w:tcPr>
          <w:p>
            <w:pPr>
              <w:jc w:val="center"/>
              <w:ind w:right="80"/>
              <w:spacing w:after="0" w:line="136" w:lineRule="exact"/>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479EFF"/>
            </w:tcBorders>
          </w:tcPr>
          <w:p>
            <w:pPr>
              <w:jc w:val="center"/>
              <w:ind w:left="39"/>
              <w:spacing w:after="0" w:line="136" w:lineRule="exact"/>
              <w:rPr>
                <w:sz w:val="20"/>
                <w:szCs w:val="20"/>
                <w:color w:val="auto"/>
              </w:rPr>
            </w:pPr>
            <w:r>
              <w:rPr>
                <w:rFonts w:ascii="Arial" w:cs="Arial" w:eastAsia="Arial" w:hAnsi="Arial"/>
                <w:sz w:val="13"/>
                <w:szCs w:val="13"/>
                <w:color w:val="auto"/>
                <w:w w:val="97"/>
              </w:rPr>
              <w:t>184,250</w:t>
            </w:r>
          </w:p>
        </w:tc>
      </w:tr>
    </w:tbl>
    <w:p>
      <w:pPr>
        <w:spacing w:after="0" w:line="159" w:lineRule="exact"/>
        <w:rPr>
          <w:sz w:val="20"/>
          <w:szCs w:val="20"/>
          <w:color w:val="auto"/>
        </w:rPr>
      </w:pPr>
    </w:p>
    <w:p>
      <w:pPr>
        <w:ind w:left="2" w:right="480" w:hanging="2"/>
        <w:spacing w:after="0" w:line="262" w:lineRule="auto"/>
        <w:tabs>
          <w:tab w:leader="none" w:pos="158" w:val="left"/>
        </w:tabs>
        <w:numPr>
          <w:ilvl w:val="0"/>
          <w:numId w:val="90"/>
        </w:numPr>
        <w:rPr>
          <w:rFonts w:ascii="Arial" w:cs="Arial" w:eastAsia="Arial" w:hAnsi="Arial"/>
          <w:sz w:val="10"/>
          <w:szCs w:val="10"/>
          <w:color w:val="auto"/>
        </w:rPr>
      </w:pPr>
      <w:r>
        <w:rPr>
          <w:rFonts w:ascii="Arial" w:cs="Arial" w:eastAsia="Arial" w:hAnsi="Arial"/>
          <w:sz w:val="10"/>
          <w:szCs w:val="10"/>
          <w:color w:val="auto"/>
        </w:rPr>
        <w:t>Mr. Kapoor's compensation during 2020 was based solely on his role as CEO, as disclosed in the "Summary Compensation Table for Fiscal Year 2020" beginning on page 86 and discussed in "Compensation Discussion and Analysis" beginning on page 61. He does not receive any additional compensation for his services as a director. Mr. Pipes, a current non-executive director, was not a director during fiscal year 2020.</w:t>
      </w:r>
    </w:p>
    <w:p>
      <w:pPr>
        <w:spacing w:after="0" w:line="137" w:lineRule="exact"/>
        <w:rPr>
          <w:rFonts w:ascii="Arial" w:cs="Arial" w:eastAsia="Arial" w:hAnsi="Arial"/>
          <w:sz w:val="10"/>
          <w:szCs w:val="10"/>
          <w:color w:val="auto"/>
        </w:rPr>
      </w:pPr>
    </w:p>
    <w:p>
      <w:pPr>
        <w:ind w:left="162" w:hanging="162"/>
        <w:spacing w:after="0"/>
        <w:tabs>
          <w:tab w:leader="none" w:pos="162" w:val="left"/>
        </w:tabs>
        <w:numPr>
          <w:ilvl w:val="0"/>
          <w:numId w:val="90"/>
        </w:numPr>
        <w:rPr>
          <w:rFonts w:ascii="Arial" w:cs="Arial" w:eastAsia="Arial" w:hAnsi="Arial"/>
          <w:sz w:val="10"/>
          <w:szCs w:val="10"/>
          <w:color w:val="auto"/>
        </w:rPr>
      </w:pPr>
      <w:r>
        <w:rPr>
          <w:rFonts w:ascii="Arial" w:cs="Arial" w:eastAsia="Arial" w:hAnsi="Arial"/>
          <w:sz w:val="10"/>
          <w:szCs w:val="10"/>
          <w:color w:val="auto"/>
        </w:rPr>
        <w:t>For Ms. Minto and Mr. Mittal, amount reflects our reimbursement to the director for fees associated with tax preparer services. For Mr. Staglin, amount reflects our reimbursement for costs associated with secretarial services.</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90"/>
        </w:numPr>
        <w:rPr>
          <w:rFonts w:ascii="Arial" w:cs="Arial" w:eastAsia="Arial" w:hAnsi="Arial"/>
          <w:sz w:val="10"/>
          <w:szCs w:val="10"/>
          <w:color w:val="auto"/>
        </w:rPr>
      </w:pPr>
      <w:r>
        <w:rPr>
          <w:rFonts w:ascii="Arial" w:cs="Arial" w:eastAsia="Arial" w:hAnsi="Arial"/>
          <w:sz w:val="10"/>
          <w:szCs w:val="10"/>
          <w:color w:val="auto"/>
        </w:rPr>
        <w:t>Pursuant to the Investment Agreement, Mr. Pandit's 2020 compensation was paid to The Orogen Group.</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90"/>
        </w:numPr>
        <w:rPr>
          <w:rFonts w:ascii="Arial" w:cs="Arial" w:eastAsia="Arial" w:hAnsi="Arial"/>
          <w:sz w:val="10"/>
          <w:szCs w:val="10"/>
          <w:color w:val="auto"/>
        </w:rPr>
      </w:pPr>
      <w:r>
        <w:rPr>
          <w:rFonts w:ascii="Arial" w:cs="Arial" w:eastAsia="Arial" w:hAnsi="Arial"/>
          <w:sz w:val="10"/>
          <w:szCs w:val="10"/>
          <w:color w:val="auto"/>
        </w:rPr>
        <w:t>Fees earned or paid in cash were temporarily reduced due to COVID-19, as described on page 105.</w:t>
      </w:r>
    </w:p>
    <w:p>
      <w:pPr>
        <w:spacing w:after="0" w:line="157" w:lineRule="exact"/>
        <w:rPr>
          <w:rFonts w:ascii="Arial" w:cs="Arial" w:eastAsia="Arial" w:hAnsi="Arial"/>
          <w:sz w:val="10"/>
          <w:szCs w:val="10"/>
          <w:color w:val="auto"/>
        </w:rPr>
      </w:pPr>
    </w:p>
    <w:p>
      <w:pPr>
        <w:ind w:left="2" w:right="100" w:hanging="2"/>
        <w:spacing w:after="0" w:line="262" w:lineRule="auto"/>
        <w:tabs>
          <w:tab w:leader="none" w:pos="152" w:val="left"/>
        </w:tabs>
        <w:numPr>
          <w:ilvl w:val="0"/>
          <w:numId w:val="90"/>
        </w:numPr>
        <w:rPr>
          <w:rFonts w:ascii="Arial" w:cs="Arial" w:eastAsia="Arial" w:hAnsi="Arial"/>
          <w:sz w:val="10"/>
          <w:szCs w:val="10"/>
          <w:color w:val="auto"/>
        </w:rPr>
      </w:pPr>
      <w:r>
        <w:rPr>
          <w:rFonts w:ascii="Arial" w:cs="Arial" w:eastAsia="Arial" w:hAnsi="Arial"/>
          <w:sz w:val="10"/>
          <w:szCs w:val="10"/>
          <w:color w:val="auto"/>
        </w:rPr>
        <w:t>Amounts reflect the aggregate grant date fair value of stock awards and option awards recognized for financial statement reporting purposes for the fiscal year ended December 31, 2020, in accordance with FASB ASC Topic 718 (disregarding any forfeiture assumptions). Assumptions used in the calculation of these amounts are included in footnotes 2 and 23 to our audited financial statements for the fiscal year ended December 31, 2020 included in the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184150</wp:posOffset>
            </wp:positionV>
            <wp:extent cx="1408430" cy="3333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2"/>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241300</wp:posOffset>
            </wp:positionV>
            <wp:extent cx="7177405" cy="19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2"/>
          </w:cols>
          <w:pgMar w:left="298" w:top="142" w:right="299" w:bottom="1440" w:gutter="0" w:footer="0" w:header="0"/>
        </w:sectPr>
      </w:pPr>
    </w:p>
    <w:bookmarkStart w:id="105" w:name="page106"/>
    <w:bookmarkEnd w:id="105"/>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60" w:type="dxa"/>
            <w:vAlign w:val="bottom"/>
            <w:gridSpan w:val="2"/>
          </w:tcPr>
          <w:p>
            <w:pPr>
              <w:ind w:left="200"/>
              <w:spacing w:after="0"/>
              <w:rPr>
                <w:sz w:val="20"/>
                <w:szCs w:val="20"/>
                <w:color w:val="auto"/>
              </w:rPr>
            </w:pPr>
            <w:r>
              <w:rPr>
                <w:rFonts w:ascii="Arial" w:cs="Arial" w:eastAsia="Arial" w:hAnsi="Arial"/>
                <w:sz w:val="10"/>
                <w:szCs w:val="10"/>
                <w:b w:val="1"/>
                <w:bCs w:val="1"/>
                <w:color w:val="CCD9D9"/>
              </w:rPr>
              <w:t>EXECUTIVE COMPENSATION</w:t>
            </w:r>
          </w:p>
        </w:tc>
        <w:tc>
          <w:tcPr>
            <w:tcW w:w="0" w:type="dxa"/>
            <w:vAlign w:val="bottom"/>
          </w:tcPr>
          <w:p>
            <w:pPr>
              <w:spacing w:after="0"/>
              <w:rPr>
                <w:sz w:val="1"/>
                <w:szCs w:val="1"/>
                <w:color w:val="auto"/>
              </w:rPr>
            </w:pPr>
          </w:p>
        </w:tc>
      </w:tr>
      <w:tr>
        <w:trPr>
          <w:trHeight w:val="272"/>
        </w:trPr>
        <w:tc>
          <w:tcPr>
            <w:tcW w:w="6460" w:type="dxa"/>
            <w:vAlign w:val="bottom"/>
          </w:tcPr>
          <w:p>
            <w:pPr>
              <w:spacing w:after="0"/>
              <w:rPr>
                <w:sz w:val="20"/>
                <w:szCs w:val="20"/>
                <w:color w:val="auto"/>
              </w:rPr>
            </w:pPr>
            <w:r>
              <w:rPr>
                <w:rFonts w:ascii="Arial" w:cs="Arial" w:eastAsia="Arial" w:hAnsi="Arial"/>
                <w:sz w:val="10"/>
                <w:szCs w:val="10"/>
                <w:color w:val="auto"/>
              </w:rPr>
              <w:t>(6) The outstanding equity awards held by our non-employee directors on December 31, 2020 is set forth on the table below:</w:t>
            </w:r>
          </w:p>
        </w:tc>
        <w:tc>
          <w:tcPr>
            <w:tcW w:w="16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46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479EFF"/>
              </w:rPr>
              <w:t>No. of Securities Underlying</w:t>
            </w:r>
          </w:p>
        </w:tc>
        <w:tc>
          <w:tcPr>
            <w:tcW w:w="1580" w:type="dxa"/>
            <w:vAlign w:val="bottom"/>
          </w:tcPr>
          <w:p>
            <w:pPr>
              <w:jc w:val="center"/>
              <w:spacing w:after="0"/>
              <w:rPr>
                <w:sz w:val="20"/>
                <w:szCs w:val="20"/>
                <w:color w:val="auto"/>
              </w:rPr>
            </w:pPr>
            <w:r>
              <w:rPr>
                <w:rFonts w:ascii="Arial" w:cs="Arial" w:eastAsia="Arial" w:hAnsi="Arial"/>
                <w:sz w:val="10"/>
                <w:szCs w:val="10"/>
                <w:b w:val="1"/>
                <w:bCs w:val="1"/>
                <w:color w:val="479EFF"/>
              </w:rPr>
              <w:t>No. of Securities Underlying</w:t>
            </w:r>
          </w:p>
        </w:tc>
        <w:tc>
          <w:tcPr>
            <w:tcW w:w="16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479EFF"/>
              </w:rPr>
              <w:t>No. of Shares or</w:t>
            </w:r>
          </w:p>
        </w:tc>
        <w:tc>
          <w:tcPr>
            <w:tcW w:w="0" w:type="dxa"/>
            <w:vAlign w:val="bottom"/>
          </w:tcPr>
          <w:p>
            <w:pPr>
              <w:spacing w:after="0"/>
              <w:rPr>
                <w:sz w:val="1"/>
                <w:szCs w:val="1"/>
                <w:color w:val="auto"/>
              </w:rPr>
            </w:pPr>
          </w:p>
        </w:tc>
      </w:tr>
      <w:tr>
        <w:trPr>
          <w:trHeight w:val="117"/>
        </w:trPr>
        <w:tc>
          <w:tcPr>
            <w:tcW w:w="6460" w:type="dxa"/>
            <w:vAlign w:val="bottom"/>
            <w:vMerge w:val="restart"/>
          </w:tcPr>
          <w:p>
            <w:pPr>
              <w:spacing w:after="0"/>
              <w:rPr>
                <w:sz w:val="20"/>
                <w:szCs w:val="20"/>
                <w:color w:val="auto"/>
              </w:rPr>
            </w:pPr>
            <w:r>
              <w:rPr>
                <w:rFonts w:ascii="Arial" w:cs="Arial" w:eastAsia="Arial" w:hAnsi="Arial"/>
                <w:sz w:val="10"/>
                <w:szCs w:val="10"/>
                <w:b w:val="1"/>
                <w:bCs w:val="1"/>
                <w:color w:val="479EFF"/>
              </w:rPr>
              <w:t>Name</w:t>
            </w:r>
            <w:r>
              <w:rPr>
                <w:rFonts w:ascii="Arial" w:cs="Arial" w:eastAsia="Arial" w:hAnsi="Arial"/>
                <w:sz w:val="15"/>
                <w:szCs w:val="15"/>
                <w:b w:val="1"/>
                <w:bCs w:val="1"/>
                <w:color w:val="479EFF"/>
                <w:vertAlign w:val="superscript"/>
              </w:rPr>
              <w:t>(1)</w:t>
            </w:r>
          </w:p>
        </w:tc>
        <w:tc>
          <w:tcPr>
            <w:tcW w:w="1600" w:type="dxa"/>
            <w:vAlign w:val="bottom"/>
          </w:tcPr>
          <w:p>
            <w:pPr>
              <w:jc w:val="center"/>
              <w:spacing w:after="0"/>
              <w:rPr>
                <w:sz w:val="20"/>
                <w:szCs w:val="20"/>
                <w:color w:val="auto"/>
              </w:rPr>
            </w:pPr>
            <w:r>
              <w:rPr>
                <w:rFonts w:ascii="Arial" w:cs="Arial" w:eastAsia="Arial" w:hAnsi="Arial"/>
                <w:sz w:val="10"/>
                <w:szCs w:val="10"/>
                <w:b w:val="1"/>
                <w:bCs w:val="1"/>
                <w:color w:val="479EFF"/>
              </w:rPr>
              <w:t>Unexercised Options (#)</w:t>
            </w:r>
          </w:p>
        </w:tc>
        <w:tc>
          <w:tcPr>
            <w:tcW w:w="1580" w:type="dxa"/>
            <w:vAlign w:val="bottom"/>
          </w:tcPr>
          <w:p>
            <w:pPr>
              <w:jc w:val="center"/>
              <w:spacing w:after="0"/>
              <w:rPr>
                <w:sz w:val="20"/>
                <w:szCs w:val="20"/>
                <w:color w:val="auto"/>
              </w:rPr>
            </w:pPr>
            <w:r>
              <w:rPr>
                <w:rFonts w:ascii="Arial" w:cs="Arial" w:eastAsia="Arial" w:hAnsi="Arial"/>
                <w:sz w:val="10"/>
                <w:szCs w:val="10"/>
                <w:b w:val="1"/>
                <w:bCs w:val="1"/>
                <w:color w:val="479EFF"/>
              </w:rPr>
              <w:t>Unexercised Options (#)</w:t>
            </w:r>
          </w:p>
        </w:tc>
        <w:tc>
          <w:tcPr>
            <w:tcW w:w="16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479EFF"/>
              </w:rPr>
              <w:t>Units of Stock That Have</w:t>
            </w:r>
          </w:p>
        </w:tc>
        <w:tc>
          <w:tcPr>
            <w:tcW w:w="0" w:type="dxa"/>
            <w:vAlign w:val="bottom"/>
          </w:tcPr>
          <w:p>
            <w:pPr>
              <w:spacing w:after="0"/>
              <w:rPr>
                <w:sz w:val="1"/>
                <w:szCs w:val="1"/>
                <w:color w:val="auto"/>
              </w:rPr>
            </w:pPr>
          </w:p>
        </w:tc>
      </w:tr>
      <w:tr>
        <w:trPr>
          <w:trHeight w:val="134"/>
        </w:trPr>
        <w:tc>
          <w:tcPr>
            <w:tcW w:w="6460" w:type="dxa"/>
            <w:vAlign w:val="bottom"/>
            <w:vMerge w:val="continue"/>
          </w:tcPr>
          <w:p>
            <w:pPr>
              <w:spacing w:after="0"/>
              <w:rPr>
                <w:sz w:val="11"/>
                <w:szCs w:val="11"/>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479EFF"/>
              </w:rPr>
              <w:t>Exercisable</w:t>
            </w:r>
          </w:p>
        </w:tc>
        <w:tc>
          <w:tcPr>
            <w:tcW w:w="1580" w:type="dxa"/>
            <w:vAlign w:val="bottom"/>
          </w:tcPr>
          <w:p>
            <w:pPr>
              <w:jc w:val="center"/>
              <w:spacing w:after="0"/>
              <w:rPr>
                <w:sz w:val="20"/>
                <w:szCs w:val="20"/>
                <w:color w:val="auto"/>
              </w:rPr>
            </w:pPr>
            <w:r>
              <w:rPr>
                <w:rFonts w:ascii="Arial" w:cs="Arial" w:eastAsia="Arial" w:hAnsi="Arial"/>
                <w:sz w:val="10"/>
                <w:szCs w:val="10"/>
                <w:b w:val="1"/>
                <w:bCs w:val="1"/>
                <w:color w:val="479EFF"/>
              </w:rPr>
              <w:t>Unexercisable</w:t>
            </w:r>
          </w:p>
        </w:tc>
        <w:tc>
          <w:tcPr>
            <w:tcW w:w="16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479EFF"/>
              </w:rPr>
              <w:t>Not Vested</w:t>
            </w:r>
          </w:p>
        </w:tc>
        <w:tc>
          <w:tcPr>
            <w:tcW w:w="0" w:type="dxa"/>
            <w:vAlign w:val="bottom"/>
          </w:tcPr>
          <w:p>
            <w:pPr>
              <w:spacing w:after="0"/>
              <w:rPr>
                <w:sz w:val="1"/>
                <w:szCs w:val="1"/>
                <w:color w:val="auto"/>
              </w:rPr>
            </w:pPr>
          </w:p>
        </w:tc>
      </w:tr>
      <w:tr>
        <w:trPr>
          <w:trHeight w:val="146"/>
        </w:trPr>
        <w:tc>
          <w:tcPr>
            <w:tcW w:w="6460" w:type="dxa"/>
            <w:vAlign w:val="bottom"/>
            <w:tcBorders>
              <w:top w:val="single" w:sz="8" w:color="479EFF"/>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b w:val="1"/>
                <w:bCs w:val="1"/>
                <w:color w:val="auto"/>
              </w:rPr>
              <w:t>David Kelso</w:t>
            </w:r>
          </w:p>
        </w:tc>
        <w:tc>
          <w:tcPr>
            <w:tcW w:w="1600" w:type="dxa"/>
            <w:vAlign w:val="bottom"/>
            <w:tcBorders>
              <w:top w:val="single" w:sz="8" w:color="479EFF"/>
              <w:bottom w:val="single" w:sz="8" w:color="auto"/>
              <w:right w:val="single" w:sz="8" w:color="auto"/>
            </w:tcBorders>
          </w:tcPr>
          <w:p>
            <w:pPr>
              <w:jc w:val="right"/>
              <w:ind w:right="540"/>
              <w:spacing w:after="0" w:line="146" w:lineRule="exact"/>
              <w:rPr>
                <w:sz w:val="20"/>
                <w:szCs w:val="20"/>
                <w:color w:val="auto"/>
              </w:rPr>
            </w:pPr>
            <w:r>
              <w:rPr>
                <w:rFonts w:ascii="Arial" w:cs="Arial" w:eastAsia="Arial" w:hAnsi="Arial"/>
                <w:sz w:val="13"/>
                <w:szCs w:val="13"/>
                <w:color w:val="auto"/>
              </w:rPr>
              <w:t>21,156</w:t>
            </w:r>
          </w:p>
        </w:tc>
        <w:tc>
          <w:tcPr>
            <w:tcW w:w="1580" w:type="dxa"/>
            <w:vAlign w:val="bottom"/>
            <w:tcBorders>
              <w:top w:val="single" w:sz="8" w:color="479EFF"/>
              <w:bottom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color w:val="auto"/>
                <w:w w:val="82"/>
              </w:rPr>
              <w:t>0</w:t>
            </w:r>
          </w:p>
        </w:tc>
        <w:tc>
          <w:tcPr>
            <w:tcW w:w="1500" w:type="dxa"/>
            <w:vAlign w:val="bottom"/>
            <w:tcBorders>
              <w:top w:val="single" w:sz="8" w:color="479EFF"/>
              <w:bottom w:val="single" w:sz="8" w:color="auto"/>
            </w:tcBorders>
          </w:tcPr>
          <w:p>
            <w:pPr>
              <w:jc w:val="center"/>
              <w:ind w:left="20"/>
              <w:spacing w:after="0" w:line="146" w:lineRule="exact"/>
              <w:rPr>
                <w:sz w:val="20"/>
                <w:szCs w:val="20"/>
                <w:color w:val="auto"/>
              </w:rPr>
            </w:pPr>
            <w:r>
              <w:rPr>
                <w:rFonts w:ascii="Arial" w:cs="Arial" w:eastAsia="Arial" w:hAnsi="Arial"/>
                <w:sz w:val="13"/>
                <w:szCs w:val="13"/>
                <w:color w:val="auto"/>
                <w:w w:val="92"/>
              </w:rPr>
              <w:t>2,363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4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Deborah Kerr</w:t>
            </w:r>
          </w:p>
        </w:tc>
        <w:tc>
          <w:tcPr>
            <w:tcW w:w="1600" w:type="dxa"/>
            <w:vAlign w:val="bottom"/>
            <w:tcBorders>
              <w:bottom w:val="single" w:sz="8" w:color="auto"/>
              <w:right w:val="single" w:sz="8" w:color="auto"/>
            </w:tcBorders>
          </w:tcPr>
          <w:p>
            <w:pPr>
              <w:jc w:val="right"/>
              <w:ind w:right="540"/>
              <w:spacing w:after="0" w:line="136" w:lineRule="exact"/>
              <w:rPr>
                <w:sz w:val="20"/>
                <w:szCs w:val="20"/>
                <w:color w:val="auto"/>
              </w:rPr>
            </w:pPr>
            <w:r>
              <w:rPr>
                <w:rFonts w:ascii="Arial" w:cs="Arial" w:eastAsia="Arial" w:hAnsi="Arial"/>
                <w:sz w:val="13"/>
                <w:szCs w:val="13"/>
                <w:color w:val="auto"/>
              </w:rPr>
              <w:t>0</w:t>
            </w:r>
          </w:p>
        </w:tc>
        <w:tc>
          <w:tcPr>
            <w:tcW w:w="158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2"/>
              </w:rPr>
              <w:t>0</w:t>
            </w:r>
          </w:p>
        </w:tc>
        <w:tc>
          <w:tcPr>
            <w:tcW w:w="1500" w:type="dxa"/>
            <w:vAlign w:val="bottom"/>
            <w:tcBorders>
              <w:bottom w:val="single" w:sz="8" w:color="auto"/>
            </w:tcBorders>
          </w:tcPr>
          <w:p>
            <w:pPr>
              <w:jc w:val="center"/>
              <w:ind w:left="20"/>
              <w:spacing w:after="0" w:line="136" w:lineRule="exact"/>
              <w:rPr>
                <w:sz w:val="20"/>
                <w:szCs w:val="20"/>
                <w:color w:val="auto"/>
              </w:rPr>
            </w:pPr>
            <w:r>
              <w:rPr>
                <w:rFonts w:ascii="Arial" w:cs="Arial" w:eastAsia="Arial" w:hAnsi="Arial"/>
                <w:sz w:val="13"/>
                <w:szCs w:val="13"/>
                <w:color w:val="auto"/>
                <w:w w:val="92"/>
              </w:rPr>
              <w:t>2,363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4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Anne Minto</w:t>
            </w:r>
          </w:p>
        </w:tc>
        <w:tc>
          <w:tcPr>
            <w:tcW w:w="1600" w:type="dxa"/>
            <w:vAlign w:val="bottom"/>
            <w:tcBorders>
              <w:bottom w:val="single" w:sz="8" w:color="auto"/>
              <w:right w:val="single" w:sz="8" w:color="auto"/>
            </w:tcBorders>
          </w:tcPr>
          <w:p>
            <w:pPr>
              <w:jc w:val="right"/>
              <w:ind w:right="540"/>
              <w:spacing w:after="0" w:line="136" w:lineRule="exact"/>
              <w:rPr>
                <w:sz w:val="20"/>
                <w:szCs w:val="20"/>
                <w:color w:val="auto"/>
              </w:rPr>
            </w:pPr>
            <w:r>
              <w:rPr>
                <w:rFonts w:ascii="Arial" w:cs="Arial" w:eastAsia="Arial" w:hAnsi="Arial"/>
                <w:sz w:val="13"/>
                <w:szCs w:val="13"/>
                <w:color w:val="auto"/>
              </w:rPr>
              <w:t>3,093</w:t>
            </w:r>
          </w:p>
        </w:tc>
        <w:tc>
          <w:tcPr>
            <w:tcW w:w="158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2"/>
              </w:rPr>
              <w:t>0</w:t>
            </w:r>
          </w:p>
        </w:tc>
        <w:tc>
          <w:tcPr>
            <w:tcW w:w="1500" w:type="dxa"/>
            <w:vAlign w:val="bottom"/>
            <w:tcBorders>
              <w:bottom w:val="single" w:sz="8" w:color="auto"/>
            </w:tcBorders>
          </w:tcPr>
          <w:p>
            <w:pPr>
              <w:jc w:val="center"/>
              <w:ind w:left="20"/>
              <w:spacing w:after="0" w:line="136" w:lineRule="exact"/>
              <w:rPr>
                <w:sz w:val="20"/>
                <w:szCs w:val="20"/>
                <w:color w:val="auto"/>
              </w:rPr>
            </w:pPr>
            <w:r>
              <w:rPr>
                <w:rFonts w:ascii="Arial" w:cs="Arial" w:eastAsia="Arial" w:hAnsi="Arial"/>
                <w:sz w:val="13"/>
                <w:szCs w:val="13"/>
                <w:color w:val="auto"/>
                <w:w w:val="92"/>
              </w:rPr>
              <w:t>2,363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4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Som Mittal</w:t>
            </w:r>
          </w:p>
        </w:tc>
        <w:tc>
          <w:tcPr>
            <w:tcW w:w="1600" w:type="dxa"/>
            <w:vAlign w:val="bottom"/>
            <w:tcBorders>
              <w:bottom w:val="single" w:sz="8" w:color="auto"/>
              <w:right w:val="single" w:sz="8" w:color="auto"/>
            </w:tcBorders>
          </w:tcPr>
          <w:p>
            <w:pPr>
              <w:jc w:val="right"/>
              <w:ind w:right="540"/>
              <w:spacing w:after="0" w:line="136" w:lineRule="exact"/>
              <w:rPr>
                <w:sz w:val="20"/>
                <w:szCs w:val="20"/>
                <w:color w:val="auto"/>
              </w:rPr>
            </w:pPr>
            <w:r>
              <w:rPr>
                <w:rFonts w:ascii="Arial" w:cs="Arial" w:eastAsia="Arial" w:hAnsi="Arial"/>
                <w:sz w:val="13"/>
                <w:szCs w:val="13"/>
                <w:color w:val="auto"/>
              </w:rPr>
              <w:t>0</w:t>
            </w:r>
          </w:p>
        </w:tc>
        <w:tc>
          <w:tcPr>
            <w:tcW w:w="158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2"/>
              </w:rPr>
              <w:t>0</w:t>
            </w:r>
          </w:p>
        </w:tc>
        <w:tc>
          <w:tcPr>
            <w:tcW w:w="1500" w:type="dxa"/>
            <w:vAlign w:val="bottom"/>
            <w:tcBorders>
              <w:bottom w:val="single" w:sz="8" w:color="auto"/>
            </w:tcBorders>
          </w:tcPr>
          <w:p>
            <w:pPr>
              <w:jc w:val="center"/>
              <w:ind w:left="20"/>
              <w:spacing w:after="0" w:line="136" w:lineRule="exact"/>
              <w:rPr>
                <w:sz w:val="20"/>
                <w:szCs w:val="20"/>
                <w:color w:val="auto"/>
              </w:rPr>
            </w:pPr>
            <w:r>
              <w:rPr>
                <w:rFonts w:ascii="Arial" w:cs="Arial" w:eastAsia="Arial" w:hAnsi="Arial"/>
                <w:sz w:val="13"/>
                <w:szCs w:val="13"/>
                <w:color w:val="auto"/>
                <w:w w:val="92"/>
              </w:rPr>
              <w:t>2,363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4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Clyde Ostler</w:t>
            </w:r>
          </w:p>
        </w:tc>
        <w:tc>
          <w:tcPr>
            <w:tcW w:w="1600" w:type="dxa"/>
            <w:vAlign w:val="bottom"/>
            <w:tcBorders>
              <w:bottom w:val="single" w:sz="8" w:color="auto"/>
              <w:right w:val="single" w:sz="8" w:color="auto"/>
            </w:tcBorders>
          </w:tcPr>
          <w:p>
            <w:pPr>
              <w:jc w:val="right"/>
              <w:ind w:right="540"/>
              <w:spacing w:after="0" w:line="136" w:lineRule="exact"/>
              <w:rPr>
                <w:sz w:val="20"/>
                <w:szCs w:val="20"/>
                <w:color w:val="auto"/>
              </w:rPr>
            </w:pPr>
            <w:r>
              <w:rPr>
                <w:rFonts w:ascii="Arial" w:cs="Arial" w:eastAsia="Arial" w:hAnsi="Arial"/>
                <w:sz w:val="13"/>
                <w:szCs w:val="13"/>
                <w:color w:val="auto"/>
              </w:rPr>
              <w:t>0</w:t>
            </w:r>
          </w:p>
        </w:tc>
        <w:tc>
          <w:tcPr>
            <w:tcW w:w="158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2"/>
              </w:rPr>
              <w:t>0</w:t>
            </w:r>
          </w:p>
        </w:tc>
        <w:tc>
          <w:tcPr>
            <w:tcW w:w="1500" w:type="dxa"/>
            <w:vAlign w:val="bottom"/>
            <w:tcBorders>
              <w:bottom w:val="single" w:sz="8" w:color="auto"/>
            </w:tcBorders>
          </w:tcPr>
          <w:p>
            <w:pPr>
              <w:jc w:val="center"/>
              <w:ind w:left="20"/>
              <w:spacing w:after="0" w:line="136" w:lineRule="exact"/>
              <w:rPr>
                <w:sz w:val="20"/>
                <w:szCs w:val="20"/>
                <w:color w:val="auto"/>
              </w:rPr>
            </w:pPr>
            <w:r>
              <w:rPr>
                <w:rFonts w:ascii="Arial" w:cs="Arial" w:eastAsia="Arial" w:hAnsi="Arial"/>
                <w:sz w:val="13"/>
                <w:szCs w:val="13"/>
                <w:color w:val="auto"/>
                <w:w w:val="92"/>
              </w:rPr>
              <w:t>2,363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4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Vikram Pandit</w:t>
            </w:r>
          </w:p>
        </w:tc>
        <w:tc>
          <w:tcPr>
            <w:tcW w:w="1600" w:type="dxa"/>
            <w:vAlign w:val="bottom"/>
            <w:tcBorders>
              <w:bottom w:val="single" w:sz="8" w:color="auto"/>
              <w:right w:val="single" w:sz="8" w:color="auto"/>
            </w:tcBorders>
          </w:tcPr>
          <w:p>
            <w:pPr>
              <w:jc w:val="right"/>
              <w:ind w:right="540"/>
              <w:spacing w:after="0" w:line="136" w:lineRule="exact"/>
              <w:rPr>
                <w:sz w:val="20"/>
                <w:szCs w:val="20"/>
                <w:color w:val="auto"/>
              </w:rPr>
            </w:pPr>
            <w:r>
              <w:rPr>
                <w:rFonts w:ascii="Arial" w:cs="Arial" w:eastAsia="Arial" w:hAnsi="Arial"/>
                <w:sz w:val="13"/>
                <w:szCs w:val="13"/>
                <w:color w:val="auto"/>
              </w:rPr>
              <w:t>0</w:t>
            </w:r>
          </w:p>
        </w:tc>
        <w:tc>
          <w:tcPr>
            <w:tcW w:w="158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2"/>
              </w:rPr>
              <w:t>0</w:t>
            </w:r>
          </w:p>
        </w:tc>
        <w:tc>
          <w:tcPr>
            <w:tcW w:w="1500" w:type="dxa"/>
            <w:vAlign w:val="bottom"/>
            <w:tcBorders>
              <w:bottom w:val="single" w:sz="8" w:color="auto"/>
            </w:tcBorders>
          </w:tcPr>
          <w:p>
            <w:pPr>
              <w:jc w:val="center"/>
              <w:ind w:left="20"/>
              <w:spacing w:after="0" w:line="136" w:lineRule="exact"/>
              <w:rPr>
                <w:sz w:val="20"/>
                <w:szCs w:val="20"/>
                <w:color w:val="auto"/>
              </w:rPr>
            </w:pPr>
            <w:r>
              <w:rPr>
                <w:rFonts w:ascii="Arial" w:cs="Arial" w:eastAsia="Arial" w:hAnsi="Arial"/>
                <w:sz w:val="13"/>
                <w:szCs w:val="13"/>
                <w:color w:val="auto"/>
                <w:w w:val="92"/>
              </w:rPr>
              <w:t>2,363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4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Nitin Sahney</w:t>
            </w:r>
          </w:p>
        </w:tc>
        <w:tc>
          <w:tcPr>
            <w:tcW w:w="1600" w:type="dxa"/>
            <w:vAlign w:val="bottom"/>
            <w:tcBorders>
              <w:bottom w:val="single" w:sz="8" w:color="auto"/>
              <w:right w:val="single" w:sz="8" w:color="auto"/>
            </w:tcBorders>
          </w:tcPr>
          <w:p>
            <w:pPr>
              <w:jc w:val="right"/>
              <w:ind w:right="540"/>
              <w:spacing w:after="0" w:line="136" w:lineRule="exact"/>
              <w:rPr>
                <w:sz w:val="20"/>
                <w:szCs w:val="20"/>
                <w:color w:val="auto"/>
              </w:rPr>
            </w:pPr>
            <w:r>
              <w:rPr>
                <w:rFonts w:ascii="Arial" w:cs="Arial" w:eastAsia="Arial" w:hAnsi="Arial"/>
                <w:sz w:val="13"/>
                <w:szCs w:val="13"/>
                <w:color w:val="auto"/>
              </w:rPr>
              <w:t>0</w:t>
            </w:r>
          </w:p>
        </w:tc>
        <w:tc>
          <w:tcPr>
            <w:tcW w:w="158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2"/>
              </w:rPr>
              <w:t>0</w:t>
            </w:r>
          </w:p>
        </w:tc>
        <w:tc>
          <w:tcPr>
            <w:tcW w:w="1500" w:type="dxa"/>
            <w:vAlign w:val="bottom"/>
            <w:tcBorders>
              <w:bottom w:val="single" w:sz="8" w:color="auto"/>
            </w:tcBorders>
          </w:tcPr>
          <w:p>
            <w:pPr>
              <w:jc w:val="center"/>
              <w:ind w:left="20"/>
              <w:spacing w:after="0" w:line="136" w:lineRule="exact"/>
              <w:rPr>
                <w:sz w:val="20"/>
                <w:szCs w:val="20"/>
                <w:color w:val="auto"/>
              </w:rPr>
            </w:pPr>
            <w:r>
              <w:rPr>
                <w:rFonts w:ascii="Arial" w:cs="Arial" w:eastAsia="Arial" w:hAnsi="Arial"/>
                <w:sz w:val="13"/>
                <w:szCs w:val="13"/>
                <w:color w:val="auto"/>
                <w:w w:val="92"/>
              </w:rPr>
              <w:t>2,363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460" w:type="dxa"/>
            <w:vAlign w:val="bottom"/>
            <w:tcBorders>
              <w:bottom w:val="single" w:sz="8" w:color="auto"/>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Garen Staglin</w:t>
            </w:r>
          </w:p>
        </w:tc>
        <w:tc>
          <w:tcPr>
            <w:tcW w:w="1600" w:type="dxa"/>
            <w:vAlign w:val="bottom"/>
            <w:tcBorders>
              <w:bottom w:val="single" w:sz="8" w:color="auto"/>
              <w:right w:val="single" w:sz="8" w:color="auto"/>
            </w:tcBorders>
          </w:tcPr>
          <w:p>
            <w:pPr>
              <w:jc w:val="right"/>
              <w:ind w:right="540"/>
              <w:spacing w:after="0" w:line="136" w:lineRule="exact"/>
              <w:rPr>
                <w:sz w:val="20"/>
                <w:szCs w:val="20"/>
                <w:color w:val="auto"/>
              </w:rPr>
            </w:pPr>
            <w:r>
              <w:rPr>
                <w:rFonts w:ascii="Arial" w:cs="Arial" w:eastAsia="Arial" w:hAnsi="Arial"/>
                <w:sz w:val="13"/>
                <w:szCs w:val="13"/>
                <w:color w:val="auto"/>
              </w:rPr>
              <w:t>0</w:t>
            </w:r>
          </w:p>
        </w:tc>
        <w:tc>
          <w:tcPr>
            <w:tcW w:w="158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2"/>
              </w:rPr>
              <w:t>0</w:t>
            </w:r>
          </w:p>
        </w:tc>
        <w:tc>
          <w:tcPr>
            <w:tcW w:w="1500" w:type="dxa"/>
            <w:vAlign w:val="bottom"/>
            <w:tcBorders>
              <w:bottom w:val="single" w:sz="8" w:color="auto"/>
            </w:tcBorders>
          </w:tcPr>
          <w:p>
            <w:pPr>
              <w:jc w:val="center"/>
              <w:ind w:left="20"/>
              <w:spacing w:after="0" w:line="136" w:lineRule="exact"/>
              <w:rPr>
                <w:sz w:val="20"/>
                <w:szCs w:val="20"/>
                <w:color w:val="auto"/>
              </w:rPr>
            </w:pPr>
            <w:r>
              <w:rPr>
                <w:rFonts w:ascii="Arial" w:cs="Arial" w:eastAsia="Arial" w:hAnsi="Arial"/>
                <w:sz w:val="13"/>
                <w:szCs w:val="13"/>
                <w:color w:val="auto"/>
                <w:w w:val="92"/>
              </w:rPr>
              <w:t>3,711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460" w:type="dxa"/>
            <w:vAlign w:val="bottom"/>
            <w:tcBorders>
              <w:bottom w:val="single" w:sz="8" w:color="479EFF"/>
              <w:right w:val="single" w:sz="8" w:color="auto"/>
            </w:tcBorders>
          </w:tcPr>
          <w:p>
            <w:pPr>
              <w:spacing w:after="0" w:line="136" w:lineRule="exact"/>
              <w:rPr>
                <w:sz w:val="20"/>
                <w:szCs w:val="20"/>
                <w:color w:val="auto"/>
              </w:rPr>
            </w:pPr>
            <w:r>
              <w:rPr>
                <w:rFonts w:ascii="Arial" w:cs="Arial" w:eastAsia="Arial" w:hAnsi="Arial"/>
                <w:sz w:val="13"/>
                <w:szCs w:val="13"/>
                <w:b w:val="1"/>
                <w:bCs w:val="1"/>
                <w:color w:val="auto"/>
              </w:rPr>
              <w:t>Jaynie Studenmund</w:t>
            </w:r>
          </w:p>
        </w:tc>
        <w:tc>
          <w:tcPr>
            <w:tcW w:w="1600" w:type="dxa"/>
            <w:vAlign w:val="bottom"/>
            <w:tcBorders>
              <w:bottom w:val="single" w:sz="8" w:color="479EFF"/>
              <w:right w:val="single" w:sz="8" w:color="auto"/>
            </w:tcBorders>
          </w:tcPr>
          <w:p>
            <w:pPr>
              <w:jc w:val="right"/>
              <w:ind w:right="540"/>
              <w:spacing w:after="0" w:line="136" w:lineRule="exact"/>
              <w:rPr>
                <w:sz w:val="20"/>
                <w:szCs w:val="20"/>
                <w:color w:val="auto"/>
              </w:rPr>
            </w:pPr>
            <w:r>
              <w:rPr>
                <w:rFonts w:ascii="Arial" w:cs="Arial" w:eastAsia="Arial" w:hAnsi="Arial"/>
                <w:sz w:val="13"/>
                <w:szCs w:val="13"/>
                <w:color w:val="auto"/>
              </w:rPr>
              <w:t>0</w:t>
            </w:r>
          </w:p>
        </w:tc>
        <w:tc>
          <w:tcPr>
            <w:tcW w:w="1580" w:type="dxa"/>
            <w:vAlign w:val="bottom"/>
            <w:tcBorders>
              <w:bottom w:val="single" w:sz="8" w:color="479EFF"/>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2"/>
              </w:rPr>
              <w:t>0</w:t>
            </w:r>
          </w:p>
        </w:tc>
        <w:tc>
          <w:tcPr>
            <w:tcW w:w="1500" w:type="dxa"/>
            <w:vAlign w:val="bottom"/>
            <w:tcBorders>
              <w:bottom w:val="single" w:sz="8" w:color="479EFF"/>
            </w:tcBorders>
          </w:tcPr>
          <w:p>
            <w:pPr>
              <w:jc w:val="center"/>
              <w:ind w:left="20"/>
              <w:spacing w:after="0" w:line="136" w:lineRule="exact"/>
              <w:rPr>
                <w:sz w:val="20"/>
                <w:szCs w:val="20"/>
                <w:color w:val="auto"/>
              </w:rPr>
            </w:pPr>
            <w:r>
              <w:rPr>
                <w:rFonts w:ascii="Arial" w:cs="Arial" w:eastAsia="Arial" w:hAnsi="Arial"/>
                <w:sz w:val="13"/>
                <w:szCs w:val="13"/>
                <w:color w:val="auto"/>
                <w:w w:val="92"/>
              </w:rPr>
              <w:t>2,363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40"/>
        <w:spacing w:after="0" w:line="235" w:lineRule="auto"/>
        <w:rPr>
          <w:sz w:val="20"/>
          <w:szCs w:val="20"/>
          <w:color w:val="auto"/>
        </w:rPr>
      </w:pPr>
      <w:r>
        <w:rPr>
          <w:rFonts w:ascii="Arial" w:cs="Arial" w:eastAsia="Arial" w:hAnsi="Arial"/>
          <w:sz w:val="13"/>
          <w:szCs w:val="13"/>
          <w:color w:val="auto"/>
        </w:rPr>
        <w:t>For 2020, non-employee directors (other than the non-executive Chairman) were eligible to receive an annual retainer fee in the amount of $60,000 in cash and $140,000 in equity valued at the time of grant. The non-executive Chairman of our board of directors was eligible to receive an annual retainer fee in the amount of $160,000 in cash and $240,000 in equity valued at the time of grant. New non-employee directors who join our board of directors during a calendar quarter are eligible to receive the full cash fee for such calendar quarter and a pro-rated equity grant. The chairperson of our Audit Committee was eligible to receive an additional annual fee of $25,000 in cash, and other members of our Audit Committee were eligible to receive an additional annual fee of $12,500 in cash. The Chairpersons of committees other than our Audit Committee were eligible to receive an additional annual fee of $20,000 in cash, and members of committees other than our Audit Committee were eligible to receive an additional annual fee of $10,000.</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2020 COVID-19 Related Temporary Salary Deferrals and Reductions</w:t>
      </w:r>
    </w:p>
    <w:p>
      <w:pPr>
        <w:spacing w:after="0" w:line="168" w:lineRule="exact"/>
        <w:rPr>
          <w:sz w:val="20"/>
          <w:szCs w:val="20"/>
          <w:color w:val="auto"/>
        </w:rPr>
      </w:pPr>
    </w:p>
    <w:p>
      <w:pPr>
        <w:ind w:right="220"/>
        <w:spacing w:after="0" w:line="278" w:lineRule="auto"/>
        <w:rPr>
          <w:sz w:val="20"/>
          <w:szCs w:val="20"/>
          <w:color w:val="auto"/>
        </w:rPr>
      </w:pPr>
      <w:r>
        <w:rPr>
          <w:rFonts w:ascii="Arial" w:cs="Arial" w:eastAsia="Arial" w:hAnsi="Arial"/>
          <w:sz w:val="12"/>
          <w:szCs w:val="12"/>
          <w:color w:val="auto"/>
        </w:rPr>
        <w:t>From May 1, 2020 to August 31, 2020, due to the uncertainty caused by the COVID-19 pandemic and in order to retain flexibility, as an extension of the cost savings actions taken by the Company as described above (including related to salary increment deferrals and salary reductions), the Company's non-employee directors agreed to a reduction of 30% in their respective cash retainers.</w:t>
      </w:r>
    </w:p>
    <w:p>
      <w:pPr>
        <w:spacing w:after="0" w:line="128"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There are no additional fees payable for attendance at our board or committee meetings (whether in person, telephonic or otherwise). We make quarterly cash payments in respect of the director fees to our directors.</w:t>
      </w:r>
    </w:p>
    <w:p>
      <w:pPr>
        <w:spacing w:after="0" w:line="150"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150" w:lineRule="exact"/>
        <w:rPr>
          <w:sz w:val="20"/>
          <w:szCs w:val="20"/>
          <w:color w:val="auto"/>
        </w:rPr>
      </w:pPr>
    </w:p>
    <w:p>
      <w:pPr>
        <w:ind w:left="780" w:hanging="393"/>
        <w:spacing w:after="0"/>
        <w:tabs>
          <w:tab w:leader="none" w:pos="780" w:val="left"/>
        </w:tabs>
        <w:numPr>
          <w:ilvl w:val="0"/>
          <w:numId w:val="91"/>
        </w:numPr>
        <w:rPr>
          <w:rFonts w:ascii="Arial" w:cs="Arial" w:eastAsia="Arial" w:hAnsi="Arial"/>
          <w:sz w:val="13"/>
          <w:szCs w:val="13"/>
          <w:color w:val="FF4000"/>
        </w:rPr>
      </w:pPr>
      <w:r>
        <w:rPr>
          <w:rFonts w:ascii="Arial" w:cs="Arial" w:eastAsia="Arial" w:hAnsi="Arial"/>
          <w:sz w:val="13"/>
          <w:szCs w:val="13"/>
          <w:color w:val="auto"/>
        </w:rPr>
        <w:t>such director's death;</w:t>
      </w:r>
    </w:p>
    <w:p>
      <w:pPr>
        <w:spacing w:after="0" w:line="152" w:lineRule="exact"/>
        <w:rPr>
          <w:rFonts w:ascii="Arial" w:cs="Arial" w:eastAsia="Arial" w:hAnsi="Arial"/>
          <w:sz w:val="13"/>
          <w:szCs w:val="13"/>
          <w:color w:val="FF4000"/>
        </w:rPr>
      </w:pPr>
    </w:p>
    <w:p>
      <w:pPr>
        <w:ind w:left="780" w:right="440" w:hanging="393"/>
        <w:spacing w:after="0" w:line="239" w:lineRule="auto"/>
        <w:tabs>
          <w:tab w:leader="none" w:pos="780" w:val="left"/>
        </w:tabs>
        <w:numPr>
          <w:ilvl w:val="0"/>
          <w:numId w:val="91"/>
        </w:numPr>
        <w:rPr>
          <w:rFonts w:ascii="Arial" w:cs="Arial" w:eastAsia="Arial" w:hAnsi="Arial"/>
          <w:sz w:val="13"/>
          <w:szCs w:val="13"/>
          <w:color w:val="FF4000"/>
        </w:rPr>
      </w:pPr>
      <w:r>
        <w:rPr>
          <w:rFonts w:ascii="Arial" w:cs="Arial" w:eastAsia="Arial" w:hAnsi="Arial"/>
          <w:sz w:val="13"/>
          <w:szCs w:val="13"/>
          <w:color w:val="auto"/>
        </w:rPr>
        <w:t>180 days following the end of such director's term on our board of directors, or if the director has satisfied our stock ownership guidelines and made an election prior to the grant, the vesting date of the award; and</w:t>
      </w:r>
    </w:p>
    <w:p>
      <w:pPr>
        <w:spacing w:after="0" w:line="139" w:lineRule="exact"/>
        <w:rPr>
          <w:rFonts w:ascii="Arial" w:cs="Arial" w:eastAsia="Arial" w:hAnsi="Arial"/>
          <w:sz w:val="13"/>
          <w:szCs w:val="13"/>
          <w:color w:val="FF4000"/>
        </w:rPr>
      </w:pPr>
    </w:p>
    <w:p>
      <w:pPr>
        <w:ind w:left="780" w:hanging="393"/>
        <w:spacing w:after="0"/>
        <w:tabs>
          <w:tab w:leader="none" w:pos="780" w:val="left"/>
        </w:tabs>
        <w:numPr>
          <w:ilvl w:val="0"/>
          <w:numId w:val="91"/>
        </w:numPr>
        <w:rPr>
          <w:rFonts w:ascii="Arial" w:cs="Arial" w:eastAsia="Arial" w:hAnsi="Arial"/>
          <w:sz w:val="13"/>
          <w:szCs w:val="13"/>
          <w:color w:val="FF4000"/>
        </w:rPr>
      </w:pPr>
      <w:r>
        <w:rPr>
          <w:rFonts w:ascii="Arial" w:cs="Arial" w:eastAsia="Arial" w:hAnsi="Arial"/>
          <w:sz w:val="13"/>
          <w:szCs w:val="13"/>
          <w:color w:val="auto"/>
        </w:rPr>
        <w:t>the occurrence of a "change in control," as defined in the 2006 Plan, 2015 Plan or 2018 Plan, as applicable, that satisfies the requirements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193675</wp:posOffset>
            </wp:positionV>
            <wp:extent cx="1408430" cy="3333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0800"/>
        <w:spacing w:after="0"/>
        <w:rPr>
          <w:sz w:val="20"/>
          <w:szCs w:val="20"/>
          <w:color w:val="auto"/>
        </w:rPr>
      </w:pPr>
      <w:r>
        <w:rPr>
          <w:rFonts w:ascii="Arial" w:cs="Arial" w:eastAsia="Arial" w:hAnsi="Arial"/>
          <w:sz w:val="13"/>
          <w:szCs w:val="13"/>
          <w:color w:val="FFFFFE"/>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06" w:name="page107"/>
    <w:bookmarkEnd w:id="106"/>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STOCK OWNERSHIP OF DIRECTORS, EXECUTIVE OFFICERS AND CERTAIN BENEFICIAL OWNERS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STOCK OWNERSHIP OF DIRECTORS, EXECUTIVE OFFICERS AND CERTAIN BENEFICIAL OWNERS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Unless otherwise indicated, the table below sets forth information with respect to the beneficial ownership of our common stock by:</w:t>
      </w:r>
    </w:p>
    <w:p>
      <w:pPr>
        <w:spacing w:after="0" w:line="152" w:lineRule="exact"/>
        <w:rPr>
          <w:sz w:val="20"/>
          <w:szCs w:val="20"/>
          <w:color w:val="auto"/>
        </w:rPr>
      </w:pPr>
    </w:p>
    <w:p>
      <w:pPr>
        <w:ind w:left="780" w:hanging="393"/>
        <w:spacing w:after="0"/>
        <w:tabs>
          <w:tab w:leader="none" w:pos="780" w:val="left"/>
        </w:tabs>
        <w:numPr>
          <w:ilvl w:val="0"/>
          <w:numId w:val="92"/>
        </w:numPr>
        <w:rPr>
          <w:rFonts w:ascii="Arial" w:cs="Arial" w:eastAsia="Arial" w:hAnsi="Arial"/>
          <w:sz w:val="13"/>
          <w:szCs w:val="13"/>
          <w:color w:val="FF4000"/>
        </w:rPr>
      </w:pPr>
      <w:r>
        <w:rPr>
          <w:rFonts w:ascii="Arial" w:cs="Arial" w:eastAsia="Arial" w:hAnsi="Arial"/>
          <w:sz w:val="13"/>
          <w:szCs w:val="13"/>
          <w:color w:val="auto"/>
        </w:rPr>
        <w:t>each of our directors and each of our named executive officers individually;</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92"/>
        </w:numPr>
        <w:rPr>
          <w:rFonts w:ascii="Arial" w:cs="Arial" w:eastAsia="Arial" w:hAnsi="Arial"/>
          <w:sz w:val="13"/>
          <w:szCs w:val="13"/>
          <w:color w:val="FF4000"/>
        </w:rPr>
      </w:pPr>
      <w:r>
        <w:rPr>
          <w:rFonts w:ascii="Arial" w:cs="Arial" w:eastAsia="Arial" w:hAnsi="Arial"/>
          <w:sz w:val="13"/>
          <w:szCs w:val="13"/>
          <w:color w:val="auto"/>
        </w:rPr>
        <w:t>each person who is known to be the beneficial owner of more than 5% of our common stock; and</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92"/>
        </w:numPr>
        <w:rPr>
          <w:rFonts w:ascii="Arial" w:cs="Arial" w:eastAsia="Arial" w:hAnsi="Arial"/>
          <w:sz w:val="13"/>
          <w:szCs w:val="13"/>
          <w:color w:val="FF4000"/>
        </w:rPr>
      </w:pPr>
      <w:r>
        <w:rPr>
          <w:rFonts w:ascii="Arial" w:cs="Arial" w:eastAsia="Arial" w:hAnsi="Arial"/>
          <w:sz w:val="13"/>
          <w:szCs w:val="13"/>
          <w:color w:val="auto"/>
        </w:rPr>
        <w:t>all of our current directors and current executive officers (i.e., not just named executive officers) as a group.</w:t>
      </w:r>
    </w:p>
    <w:p>
      <w:pPr>
        <w:spacing w:after="0" w:line="152"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The amounts and percentages of common stock beneficially owned below are as of March 31, 2021 (the "Determination Date") and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the Determination Date.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137" w:lineRule="exact"/>
        <w:rPr>
          <w:sz w:val="20"/>
          <w:szCs w:val="20"/>
          <w:color w:val="auto"/>
        </w:rPr>
      </w:pPr>
    </w:p>
    <w:tbl>
      <w:tblPr>
        <w:tblLayout w:type="fixed"/>
        <w:tblInd w:w="1120" w:type="dxa"/>
        <w:tblCellMar>
          <w:top w:w="0" w:type="dxa"/>
          <w:left w:w="0" w:type="dxa"/>
          <w:bottom w:w="0" w:type="dxa"/>
          <w:right w:w="0" w:type="dxa"/>
        </w:tblCellMar>
      </w:tblPr>
      <w:tr>
        <w:trPr>
          <w:trHeight w:val="168"/>
        </w:trPr>
        <w:tc>
          <w:tcPr>
            <w:tcW w:w="3020" w:type="dxa"/>
            <w:vAlign w:val="bottom"/>
          </w:tcPr>
          <w:p>
            <w:pPr>
              <w:spacing w:after="0"/>
              <w:rPr>
                <w:sz w:val="14"/>
                <w:szCs w:val="14"/>
                <w:color w:val="auto"/>
              </w:rPr>
            </w:pPr>
          </w:p>
        </w:tc>
        <w:tc>
          <w:tcPr>
            <w:tcW w:w="3580" w:type="dxa"/>
            <w:vAlign w:val="bottom"/>
          </w:tcPr>
          <w:p>
            <w:pPr>
              <w:jc w:val="right"/>
              <w:ind w:right="1378"/>
              <w:spacing w:after="0"/>
              <w:rPr>
                <w:sz w:val="20"/>
                <w:szCs w:val="20"/>
                <w:color w:val="auto"/>
              </w:rPr>
            </w:pPr>
            <w:r>
              <w:rPr>
                <w:rFonts w:ascii="Arial" w:cs="Arial" w:eastAsia="Arial" w:hAnsi="Arial"/>
                <w:sz w:val="13"/>
                <w:szCs w:val="13"/>
                <w:b w:val="1"/>
                <w:bCs w:val="1"/>
                <w:color w:val="auto"/>
              </w:rPr>
              <w:t>Beneficial Ownership</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83"/>
        </w:trPr>
        <w:tc>
          <w:tcPr>
            <w:tcW w:w="30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Arial" w:cs="Arial" w:eastAsia="Arial" w:hAnsi="Arial"/>
                <w:sz w:val="13"/>
                <w:szCs w:val="13"/>
                <w:b w:val="1"/>
                <w:bCs w:val="1"/>
                <w:color w:val="auto"/>
              </w:rPr>
              <w:t>Vested but</w:t>
            </w:r>
          </w:p>
        </w:tc>
        <w:tc>
          <w:tcPr>
            <w:tcW w:w="560" w:type="dxa"/>
            <w:vAlign w:val="bottom"/>
          </w:tcPr>
          <w:p>
            <w:pPr>
              <w:spacing w:after="0"/>
              <w:rPr>
                <w:sz w:val="24"/>
                <w:szCs w:val="24"/>
                <w:color w:val="auto"/>
              </w:rPr>
            </w:pPr>
          </w:p>
        </w:tc>
      </w:tr>
      <w:tr>
        <w:trPr>
          <w:trHeight w:val="194"/>
        </w:trPr>
        <w:tc>
          <w:tcPr>
            <w:tcW w:w="3020" w:type="dxa"/>
            <w:vAlign w:val="bottom"/>
            <w:tcBorders>
              <w:bottom w:val="single" w:sz="8" w:color="479EFF"/>
            </w:tcBorders>
          </w:tcPr>
          <w:p>
            <w:pPr>
              <w:ind w:left="20"/>
              <w:spacing w:after="0" w:line="186" w:lineRule="exact"/>
              <w:rPr>
                <w:sz w:val="20"/>
                <w:szCs w:val="20"/>
                <w:color w:val="auto"/>
              </w:rPr>
            </w:pPr>
            <w:r>
              <w:rPr>
                <w:rFonts w:ascii="Arial" w:cs="Arial" w:eastAsia="Arial" w:hAnsi="Arial"/>
                <w:sz w:val="13"/>
                <w:szCs w:val="13"/>
                <w:b w:val="1"/>
                <w:bCs w:val="1"/>
                <w:color w:val="auto"/>
              </w:rPr>
              <w:t>Name and Address</w:t>
            </w:r>
            <w:r>
              <w:rPr>
                <w:rFonts w:ascii="Arial" w:cs="Arial" w:eastAsia="Arial" w:hAnsi="Arial"/>
                <w:sz w:val="21"/>
                <w:szCs w:val="21"/>
                <w:b w:val="1"/>
                <w:bCs w:val="1"/>
                <w:color w:val="auto"/>
                <w:vertAlign w:val="superscript"/>
              </w:rPr>
              <w:t>(1)</w:t>
            </w:r>
          </w:p>
        </w:tc>
        <w:tc>
          <w:tcPr>
            <w:tcW w:w="3580" w:type="dxa"/>
            <w:vAlign w:val="bottom"/>
            <w:tcBorders>
              <w:bottom w:val="single" w:sz="8" w:color="479EFF"/>
            </w:tcBorders>
          </w:tcPr>
          <w:p>
            <w:pPr>
              <w:jc w:val="right"/>
              <w:ind w:right="178"/>
              <w:spacing w:after="0"/>
              <w:rPr>
                <w:sz w:val="20"/>
                <w:szCs w:val="20"/>
                <w:color w:val="auto"/>
              </w:rPr>
            </w:pPr>
            <w:r>
              <w:rPr>
                <w:rFonts w:ascii="Arial" w:cs="Arial" w:eastAsia="Arial" w:hAnsi="Arial"/>
                <w:sz w:val="13"/>
                <w:szCs w:val="13"/>
                <w:b w:val="1"/>
                <w:bCs w:val="1"/>
                <w:color w:val="auto"/>
              </w:rPr>
              <w:t>Shares</w:t>
            </w:r>
          </w:p>
        </w:tc>
        <w:tc>
          <w:tcPr>
            <w:tcW w:w="440" w:type="dxa"/>
            <w:vAlign w:val="bottom"/>
            <w:tcBorders>
              <w:bottom w:val="single" w:sz="8" w:color="479EFF"/>
            </w:tcBorders>
          </w:tcPr>
          <w:p>
            <w:pPr>
              <w:jc w:val="right"/>
              <w:ind w:right="78"/>
              <w:spacing w:after="0" w:line="186"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w:t>
            </w:r>
          </w:p>
        </w:tc>
        <w:tc>
          <w:tcPr>
            <w:tcW w:w="1280" w:type="dxa"/>
            <w:vAlign w:val="bottom"/>
            <w:tcBorders>
              <w:bottom w:val="single" w:sz="8" w:color="479EFF"/>
            </w:tcBorders>
          </w:tcPr>
          <w:p>
            <w:pPr>
              <w:ind w:left="100"/>
              <w:spacing w:after="0" w:line="186" w:lineRule="exact"/>
              <w:rPr>
                <w:sz w:val="20"/>
                <w:szCs w:val="20"/>
                <w:color w:val="auto"/>
              </w:rPr>
            </w:pPr>
            <w:r>
              <w:rPr>
                <w:rFonts w:ascii="Arial" w:cs="Arial" w:eastAsia="Arial" w:hAnsi="Arial"/>
                <w:sz w:val="13"/>
                <w:szCs w:val="13"/>
                <w:b w:val="1"/>
                <w:bCs w:val="1"/>
                <w:color w:val="auto"/>
              </w:rPr>
              <w:t>Unsettled RSUs</w:t>
            </w:r>
            <w:r>
              <w:rPr>
                <w:rFonts w:ascii="Arial" w:cs="Arial" w:eastAsia="Arial" w:hAnsi="Arial"/>
                <w:sz w:val="21"/>
                <w:szCs w:val="21"/>
                <w:b w:val="1"/>
                <w:bCs w:val="1"/>
                <w:color w:val="auto"/>
                <w:vertAlign w:val="superscript"/>
              </w:rPr>
              <w:t>(3)</w:t>
            </w:r>
          </w:p>
        </w:tc>
        <w:tc>
          <w:tcPr>
            <w:tcW w:w="560" w:type="dxa"/>
            <w:vAlign w:val="bottom"/>
            <w:tcBorders>
              <w:bottom w:val="single" w:sz="8" w:color="479EFF"/>
            </w:tcBorders>
          </w:tcPr>
          <w:p>
            <w:pPr>
              <w:jc w:val="right"/>
              <w:ind w:right="37"/>
              <w:spacing w:after="0"/>
              <w:rPr>
                <w:sz w:val="20"/>
                <w:szCs w:val="20"/>
                <w:color w:val="auto"/>
              </w:rPr>
            </w:pPr>
            <w:r>
              <w:rPr>
                <w:rFonts w:ascii="Arial" w:cs="Arial" w:eastAsia="Arial" w:hAnsi="Arial"/>
                <w:sz w:val="13"/>
                <w:szCs w:val="13"/>
                <w:b w:val="1"/>
                <w:bCs w:val="1"/>
                <w:color w:val="auto"/>
              </w:rPr>
              <w:t>Total</w:t>
            </w:r>
          </w:p>
        </w:tc>
      </w:tr>
      <w:tr>
        <w:trPr>
          <w:trHeight w:val="146"/>
        </w:trPr>
        <w:tc>
          <w:tcPr>
            <w:tcW w:w="3020" w:type="dxa"/>
            <w:vAlign w:val="bottom"/>
            <w:tcBorders>
              <w:bottom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479EFF"/>
              </w:rPr>
              <w:t>5% Beneficial Owners</w:t>
            </w:r>
          </w:p>
        </w:tc>
        <w:tc>
          <w:tcPr>
            <w:tcW w:w="35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r>
      <w:tr>
        <w:trPr>
          <w:trHeight w:val="167"/>
        </w:trPr>
        <w:tc>
          <w:tcPr>
            <w:tcW w:w="3020" w:type="dxa"/>
            <w:vAlign w:val="bottom"/>
          </w:tcPr>
          <w:p>
            <w:pPr>
              <w:ind w:left="20"/>
              <w:spacing w:after="0" w:line="167" w:lineRule="exact"/>
              <w:rPr>
                <w:sz w:val="20"/>
                <w:szCs w:val="20"/>
                <w:color w:val="auto"/>
              </w:rPr>
            </w:pPr>
            <w:r>
              <w:rPr>
                <w:rFonts w:ascii="Arial" w:cs="Arial" w:eastAsia="Arial" w:hAnsi="Arial"/>
                <w:sz w:val="12"/>
                <w:szCs w:val="12"/>
                <w:color w:val="auto"/>
              </w:rPr>
              <w:t>Blackrock Inc.</w:t>
            </w:r>
            <w:r>
              <w:rPr>
                <w:rFonts w:ascii="Arial" w:cs="Arial" w:eastAsia="Arial" w:hAnsi="Arial"/>
                <w:sz w:val="19"/>
                <w:szCs w:val="19"/>
                <w:color w:val="auto"/>
                <w:vertAlign w:val="superscript"/>
              </w:rPr>
              <w:t>(4)</w:t>
            </w:r>
          </w:p>
        </w:tc>
        <w:tc>
          <w:tcPr>
            <w:tcW w:w="3580" w:type="dxa"/>
            <w:vAlign w:val="bottom"/>
          </w:tcPr>
          <w:p>
            <w:pPr>
              <w:jc w:val="right"/>
              <w:ind w:right="98"/>
              <w:spacing w:after="0"/>
              <w:rPr>
                <w:sz w:val="20"/>
                <w:szCs w:val="20"/>
                <w:color w:val="auto"/>
              </w:rPr>
            </w:pPr>
            <w:r>
              <w:rPr>
                <w:rFonts w:ascii="Arial" w:cs="Arial" w:eastAsia="Arial" w:hAnsi="Arial"/>
                <w:sz w:val="13"/>
                <w:szCs w:val="13"/>
                <w:color w:val="auto"/>
              </w:rPr>
              <w:t>5,022,856</w:t>
            </w:r>
          </w:p>
        </w:tc>
        <w:tc>
          <w:tcPr>
            <w:tcW w:w="440" w:type="dxa"/>
            <w:vAlign w:val="bottom"/>
          </w:tcPr>
          <w:p>
            <w:pPr>
              <w:jc w:val="right"/>
              <w:ind w:right="38"/>
              <w:spacing w:after="0"/>
              <w:rPr>
                <w:sz w:val="20"/>
                <w:szCs w:val="20"/>
                <w:color w:val="auto"/>
              </w:rPr>
            </w:pPr>
            <w:r>
              <w:rPr>
                <w:rFonts w:ascii="Arial" w:cs="Arial" w:eastAsia="Arial" w:hAnsi="Arial"/>
                <w:sz w:val="13"/>
                <w:szCs w:val="13"/>
                <w:color w:val="auto"/>
                <w:w w:val="98"/>
              </w:rPr>
              <w:t>14.98</w:t>
            </w:r>
          </w:p>
        </w:tc>
        <w:tc>
          <w:tcPr>
            <w:tcW w:w="1280" w:type="dxa"/>
            <w:vAlign w:val="bottom"/>
          </w:tcPr>
          <w:p>
            <w:pPr>
              <w:ind w:left="10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r>
      <w:tr>
        <w:trPr>
          <w:trHeight w:val="175"/>
        </w:trPr>
        <w:tc>
          <w:tcPr>
            <w:tcW w:w="3020" w:type="dxa"/>
            <w:vAlign w:val="bottom"/>
          </w:tcPr>
          <w:p>
            <w:pPr>
              <w:ind w:left="20"/>
              <w:spacing w:after="0" w:line="175" w:lineRule="exact"/>
              <w:rPr>
                <w:sz w:val="20"/>
                <w:szCs w:val="20"/>
                <w:color w:val="auto"/>
              </w:rPr>
            </w:pPr>
            <w:r>
              <w:rPr>
                <w:rFonts w:ascii="Arial" w:cs="Arial" w:eastAsia="Arial" w:hAnsi="Arial"/>
                <w:sz w:val="12"/>
                <w:szCs w:val="12"/>
                <w:color w:val="auto"/>
              </w:rPr>
              <w:t>Vanguard Group, Inc.</w:t>
            </w:r>
            <w:r>
              <w:rPr>
                <w:rFonts w:ascii="Arial" w:cs="Arial" w:eastAsia="Arial" w:hAnsi="Arial"/>
                <w:sz w:val="20"/>
                <w:szCs w:val="20"/>
                <w:color w:val="auto"/>
                <w:vertAlign w:val="superscript"/>
              </w:rPr>
              <w:t>(5)</w:t>
            </w:r>
          </w:p>
        </w:tc>
        <w:tc>
          <w:tcPr>
            <w:tcW w:w="3580" w:type="dxa"/>
            <w:vAlign w:val="bottom"/>
          </w:tcPr>
          <w:p>
            <w:pPr>
              <w:jc w:val="right"/>
              <w:ind w:right="98"/>
              <w:spacing w:after="0"/>
              <w:rPr>
                <w:sz w:val="20"/>
                <w:szCs w:val="20"/>
                <w:color w:val="auto"/>
              </w:rPr>
            </w:pPr>
            <w:r>
              <w:rPr>
                <w:rFonts w:ascii="Arial" w:cs="Arial" w:eastAsia="Arial" w:hAnsi="Arial"/>
                <w:sz w:val="13"/>
                <w:szCs w:val="13"/>
                <w:color w:val="auto"/>
              </w:rPr>
              <w:t>3,490,051</w:t>
            </w:r>
          </w:p>
        </w:tc>
        <w:tc>
          <w:tcPr>
            <w:tcW w:w="440" w:type="dxa"/>
            <w:vAlign w:val="bottom"/>
          </w:tcPr>
          <w:p>
            <w:pPr>
              <w:jc w:val="right"/>
              <w:ind w:right="38"/>
              <w:spacing w:after="0"/>
              <w:rPr>
                <w:sz w:val="20"/>
                <w:szCs w:val="20"/>
                <w:color w:val="auto"/>
              </w:rPr>
            </w:pPr>
            <w:r>
              <w:rPr>
                <w:rFonts w:ascii="Arial" w:cs="Arial" w:eastAsia="Arial" w:hAnsi="Arial"/>
                <w:sz w:val="13"/>
                <w:szCs w:val="13"/>
                <w:color w:val="auto"/>
                <w:w w:val="98"/>
              </w:rPr>
              <w:t>10.41</w:t>
            </w:r>
          </w:p>
        </w:tc>
        <w:tc>
          <w:tcPr>
            <w:tcW w:w="1280" w:type="dxa"/>
            <w:vAlign w:val="bottom"/>
          </w:tcPr>
          <w:p>
            <w:pPr>
              <w:ind w:left="10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r>
      <w:tr>
        <w:trPr>
          <w:trHeight w:val="175"/>
        </w:trPr>
        <w:tc>
          <w:tcPr>
            <w:tcW w:w="3020" w:type="dxa"/>
            <w:vAlign w:val="bottom"/>
          </w:tcPr>
          <w:p>
            <w:pPr>
              <w:ind w:left="20"/>
              <w:spacing w:after="0" w:line="175" w:lineRule="exact"/>
              <w:rPr>
                <w:sz w:val="20"/>
                <w:szCs w:val="20"/>
                <w:color w:val="auto"/>
              </w:rPr>
            </w:pPr>
            <w:r>
              <w:rPr>
                <w:rFonts w:ascii="Arial" w:cs="Arial" w:eastAsia="Arial" w:hAnsi="Arial"/>
                <w:sz w:val="12"/>
                <w:szCs w:val="12"/>
                <w:color w:val="auto"/>
              </w:rPr>
              <w:t>FMR LLC</w:t>
            </w:r>
            <w:r>
              <w:rPr>
                <w:rFonts w:ascii="Arial" w:cs="Arial" w:eastAsia="Arial" w:hAnsi="Arial"/>
                <w:sz w:val="20"/>
                <w:szCs w:val="20"/>
                <w:color w:val="auto"/>
                <w:vertAlign w:val="superscript"/>
              </w:rPr>
              <w:t>(6)</w:t>
            </w:r>
          </w:p>
        </w:tc>
        <w:tc>
          <w:tcPr>
            <w:tcW w:w="3580" w:type="dxa"/>
            <w:vAlign w:val="bottom"/>
          </w:tcPr>
          <w:p>
            <w:pPr>
              <w:jc w:val="right"/>
              <w:ind w:right="98"/>
              <w:spacing w:after="0"/>
              <w:rPr>
                <w:sz w:val="20"/>
                <w:szCs w:val="20"/>
                <w:color w:val="auto"/>
              </w:rPr>
            </w:pPr>
            <w:r>
              <w:rPr>
                <w:rFonts w:ascii="Arial" w:cs="Arial" w:eastAsia="Arial" w:hAnsi="Arial"/>
                <w:sz w:val="13"/>
                <w:szCs w:val="13"/>
                <w:color w:val="auto"/>
              </w:rPr>
              <w:t>2,736,294</w:t>
            </w:r>
          </w:p>
        </w:tc>
        <w:tc>
          <w:tcPr>
            <w:tcW w:w="440" w:type="dxa"/>
            <w:vAlign w:val="bottom"/>
          </w:tcPr>
          <w:p>
            <w:pPr>
              <w:jc w:val="right"/>
              <w:ind w:right="38"/>
              <w:spacing w:after="0"/>
              <w:rPr>
                <w:sz w:val="20"/>
                <w:szCs w:val="20"/>
                <w:color w:val="auto"/>
              </w:rPr>
            </w:pPr>
            <w:r>
              <w:rPr>
                <w:rFonts w:ascii="Arial" w:cs="Arial" w:eastAsia="Arial" w:hAnsi="Arial"/>
                <w:sz w:val="13"/>
                <w:szCs w:val="13"/>
                <w:color w:val="auto"/>
              </w:rPr>
              <w:t>8.16</w:t>
            </w:r>
          </w:p>
        </w:tc>
        <w:tc>
          <w:tcPr>
            <w:tcW w:w="1280" w:type="dxa"/>
            <w:vAlign w:val="bottom"/>
          </w:tcPr>
          <w:p>
            <w:pPr>
              <w:ind w:left="10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r>
      <w:tr>
        <w:trPr>
          <w:trHeight w:val="268"/>
        </w:trPr>
        <w:tc>
          <w:tcPr>
            <w:tcW w:w="3020" w:type="dxa"/>
            <w:vAlign w:val="bottom"/>
          </w:tcPr>
          <w:p>
            <w:pPr>
              <w:ind w:left="20"/>
              <w:spacing w:after="0"/>
              <w:rPr>
                <w:sz w:val="20"/>
                <w:szCs w:val="20"/>
                <w:color w:val="auto"/>
              </w:rPr>
            </w:pPr>
            <w:r>
              <w:rPr>
                <w:rFonts w:ascii="Arial" w:cs="Arial" w:eastAsia="Arial" w:hAnsi="Arial"/>
                <w:sz w:val="13"/>
                <w:szCs w:val="13"/>
                <w:color w:val="auto"/>
              </w:rPr>
              <w:t>Wellington Management Group LLP</w:t>
            </w:r>
            <w:r>
              <w:rPr>
                <w:rFonts w:ascii="Arial" w:cs="Arial" w:eastAsia="Arial" w:hAnsi="Arial"/>
                <w:sz w:val="21"/>
                <w:szCs w:val="21"/>
                <w:color w:val="auto"/>
                <w:vertAlign w:val="superscript"/>
              </w:rPr>
              <w:t>(7)</w:t>
            </w:r>
          </w:p>
        </w:tc>
        <w:tc>
          <w:tcPr>
            <w:tcW w:w="3580" w:type="dxa"/>
            <w:vAlign w:val="bottom"/>
          </w:tcPr>
          <w:p>
            <w:pPr>
              <w:jc w:val="right"/>
              <w:ind w:right="98"/>
              <w:spacing w:after="0"/>
              <w:rPr>
                <w:sz w:val="20"/>
                <w:szCs w:val="20"/>
                <w:color w:val="auto"/>
              </w:rPr>
            </w:pPr>
            <w:r>
              <w:rPr>
                <w:rFonts w:ascii="Arial" w:cs="Arial" w:eastAsia="Arial" w:hAnsi="Arial"/>
                <w:sz w:val="13"/>
                <w:szCs w:val="13"/>
                <w:color w:val="auto"/>
              </w:rPr>
              <w:t>1,873,175</w:t>
            </w:r>
          </w:p>
        </w:tc>
        <w:tc>
          <w:tcPr>
            <w:tcW w:w="440" w:type="dxa"/>
            <w:vAlign w:val="bottom"/>
          </w:tcPr>
          <w:p>
            <w:pPr>
              <w:jc w:val="right"/>
              <w:ind w:right="38"/>
              <w:spacing w:after="0"/>
              <w:rPr>
                <w:sz w:val="20"/>
                <w:szCs w:val="20"/>
                <w:color w:val="auto"/>
              </w:rPr>
            </w:pPr>
            <w:r>
              <w:rPr>
                <w:rFonts w:ascii="Arial" w:cs="Arial" w:eastAsia="Arial" w:hAnsi="Arial"/>
                <w:sz w:val="13"/>
                <w:szCs w:val="13"/>
                <w:color w:val="auto"/>
              </w:rPr>
              <w:t>5.59</w:t>
            </w:r>
          </w:p>
        </w:tc>
        <w:tc>
          <w:tcPr>
            <w:tcW w:w="1280" w:type="dxa"/>
            <w:vAlign w:val="bottom"/>
          </w:tcPr>
          <w:p>
            <w:pPr>
              <w:ind w:left="10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3"/>
                <w:szCs w:val="23"/>
                <w:color w:val="auto"/>
              </w:rPr>
            </w:pPr>
          </w:p>
        </w:tc>
      </w:tr>
      <w:tr>
        <w:trPr>
          <w:trHeight w:val="16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479EFF"/>
              </w:rPr>
              <w:t>Named Executive Officers</w:t>
            </w:r>
          </w:p>
        </w:tc>
        <w:tc>
          <w:tcPr>
            <w:tcW w:w="3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38"/>
        </w:trPr>
        <w:tc>
          <w:tcPr>
            <w:tcW w:w="3020" w:type="dxa"/>
            <w:vAlign w:val="bottom"/>
          </w:tcPr>
          <w:p>
            <w:pPr>
              <w:ind w:left="20"/>
              <w:spacing w:after="0" w:line="138" w:lineRule="exact"/>
              <w:rPr>
                <w:sz w:val="20"/>
                <w:szCs w:val="20"/>
                <w:color w:val="auto"/>
              </w:rPr>
            </w:pPr>
            <w:r>
              <w:rPr>
                <w:rFonts w:ascii="Arial" w:cs="Arial" w:eastAsia="Arial" w:hAnsi="Arial"/>
                <w:sz w:val="13"/>
                <w:szCs w:val="13"/>
                <w:color w:val="auto"/>
              </w:rPr>
              <w:t>Rohit Kapoor</w:t>
            </w:r>
          </w:p>
        </w:tc>
        <w:tc>
          <w:tcPr>
            <w:tcW w:w="3580" w:type="dxa"/>
            <w:vAlign w:val="bottom"/>
          </w:tcPr>
          <w:p>
            <w:pPr>
              <w:jc w:val="right"/>
              <w:spacing w:after="0" w:line="138" w:lineRule="exact"/>
              <w:rPr>
                <w:sz w:val="20"/>
                <w:szCs w:val="20"/>
                <w:color w:val="auto"/>
              </w:rPr>
            </w:pPr>
            <w:r>
              <w:rPr>
                <w:rFonts w:ascii="Arial" w:cs="Arial" w:eastAsia="Arial" w:hAnsi="Arial"/>
                <w:sz w:val="10"/>
                <w:szCs w:val="10"/>
                <w:color w:val="auto"/>
              </w:rPr>
              <w:t>729,618</w:t>
            </w:r>
            <w:r>
              <w:rPr>
                <w:rFonts w:ascii="Arial" w:cs="Arial" w:eastAsia="Arial" w:hAnsi="Arial"/>
                <w:sz w:val="15"/>
                <w:szCs w:val="15"/>
                <w:color w:val="auto"/>
                <w:vertAlign w:val="superscript"/>
              </w:rPr>
              <w:t>(8)</w:t>
            </w:r>
          </w:p>
        </w:tc>
        <w:tc>
          <w:tcPr>
            <w:tcW w:w="440" w:type="dxa"/>
            <w:vAlign w:val="bottom"/>
          </w:tcPr>
          <w:p>
            <w:pPr>
              <w:jc w:val="right"/>
              <w:ind w:right="38"/>
              <w:spacing w:after="0" w:line="138" w:lineRule="exact"/>
              <w:rPr>
                <w:sz w:val="20"/>
                <w:szCs w:val="20"/>
                <w:color w:val="auto"/>
              </w:rPr>
            </w:pPr>
            <w:r>
              <w:rPr>
                <w:rFonts w:ascii="Arial" w:cs="Arial" w:eastAsia="Arial" w:hAnsi="Arial"/>
                <w:sz w:val="13"/>
                <w:szCs w:val="13"/>
                <w:color w:val="auto"/>
              </w:rPr>
              <w:t>2.18</w:t>
            </w:r>
          </w:p>
        </w:tc>
        <w:tc>
          <w:tcPr>
            <w:tcW w:w="1280" w:type="dxa"/>
            <w:vAlign w:val="bottom"/>
          </w:tcPr>
          <w:p>
            <w:pPr>
              <w:ind w:left="1060"/>
              <w:spacing w:after="0" w:line="13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729,618</w:t>
            </w:r>
          </w:p>
        </w:tc>
      </w:tr>
      <w:tr>
        <w:trPr>
          <w:trHeight w:val="146"/>
        </w:trPr>
        <w:tc>
          <w:tcPr>
            <w:tcW w:w="3020" w:type="dxa"/>
            <w:vAlign w:val="bottom"/>
          </w:tcPr>
          <w:p>
            <w:pPr>
              <w:ind w:left="20"/>
              <w:spacing w:after="0" w:line="146" w:lineRule="exact"/>
              <w:rPr>
                <w:sz w:val="20"/>
                <w:szCs w:val="20"/>
                <w:color w:val="auto"/>
              </w:rPr>
            </w:pPr>
            <w:r>
              <w:rPr>
                <w:rFonts w:ascii="Arial" w:cs="Arial" w:eastAsia="Arial" w:hAnsi="Arial"/>
                <w:sz w:val="13"/>
                <w:szCs w:val="13"/>
                <w:color w:val="auto"/>
              </w:rPr>
              <w:t>Maurizio Nicolelli</w:t>
            </w:r>
          </w:p>
        </w:tc>
        <w:tc>
          <w:tcPr>
            <w:tcW w:w="3580" w:type="dxa"/>
            <w:vAlign w:val="bottom"/>
          </w:tcPr>
          <w:p>
            <w:pPr>
              <w:jc w:val="right"/>
              <w:ind w:right="98"/>
              <w:spacing w:after="0" w:line="146" w:lineRule="exact"/>
              <w:rPr>
                <w:sz w:val="20"/>
                <w:szCs w:val="20"/>
                <w:color w:val="auto"/>
              </w:rPr>
            </w:pPr>
            <w:r>
              <w:rPr>
                <w:rFonts w:ascii="Arial" w:cs="Arial" w:eastAsia="Arial" w:hAnsi="Arial"/>
                <w:sz w:val="13"/>
                <w:szCs w:val="13"/>
                <w:color w:val="auto"/>
              </w:rPr>
              <w:t>3,210</w:t>
            </w:r>
          </w:p>
        </w:tc>
        <w:tc>
          <w:tcPr>
            <w:tcW w:w="44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280" w:type="dxa"/>
            <w:vAlign w:val="bottom"/>
          </w:tcPr>
          <w:p>
            <w:pPr>
              <w:ind w:left="1060"/>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3,210</w:t>
            </w:r>
          </w:p>
        </w:tc>
      </w:tr>
      <w:tr>
        <w:trPr>
          <w:trHeight w:val="146"/>
        </w:trPr>
        <w:tc>
          <w:tcPr>
            <w:tcW w:w="3020" w:type="dxa"/>
            <w:vAlign w:val="bottom"/>
          </w:tcPr>
          <w:p>
            <w:pPr>
              <w:ind w:left="20"/>
              <w:spacing w:after="0" w:line="146" w:lineRule="exact"/>
              <w:rPr>
                <w:sz w:val="20"/>
                <w:szCs w:val="20"/>
                <w:color w:val="auto"/>
              </w:rPr>
            </w:pPr>
            <w:r>
              <w:rPr>
                <w:rFonts w:ascii="Arial" w:cs="Arial" w:eastAsia="Arial" w:hAnsi="Arial"/>
                <w:sz w:val="13"/>
                <w:szCs w:val="13"/>
                <w:color w:val="auto"/>
              </w:rPr>
              <w:t>Pavan Bagai</w:t>
            </w:r>
          </w:p>
        </w:tc>
        <w:tc>
          <w:tcPr>
            <w:tcW w:w="3580" w:type="dxa"/>
            <w:vAlign w:val="bottom"/>
          </w:tcPr>
          <w:p>
            <w:pPr>
              <w:jc w:val="right"/>
              <w:ind w:right="98"/>
              <w:spacing w:after="0" w:line="146" w:lineRule="exact"/>
              <w:rPr>
                <w:sz w:val="20"/>
                <w:szCs w:val="20"/>
                <w:color w:val="auto"/>
              </w:rPr>
            </w:pPr>
            <w:r>
              <w:rPr>
                <w:rFonts w:ascii="Arial" w:cs="Arial" w:eastAsia="Arial" w:hAnsi="Arial"/>
                <w:sz w:val="13"/>
                <w:szCs w:val="13"/>
                <w:color w:val="auto"/>
              </w:rPr>
              <w:t>55,938</w:t>
            </w:r>
          </w:p>
        </w:tc>
        <w:tc>
          <w:tcPr>
            <w:tcW w:w="44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280" w:type="dxa"/>
            <w:vAlign w:val="bottom"/>
          </w:tcPr>
          <w:p>
            <w:pPr>
              <w:ind w:left="1060"/>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55,938</w:t>
            </w:r>
          </w:p>
        </w:tc>
      </w:tr>
      <w:tr>
        <w:trPr>
          <w:trHeight w:val="146"/>
        </w:trPr>
        <w:tc>
          <w:tcPr>
            <w:tcW w:w="3020" w:type="dxa"/>
            <w:vAlign w:val="bottom"/>
          </w:tcPr>
          <w:p>
            <w:pPr>
              <w:ind w:left="20"/>
              <w:spacing w:after="0" w:line="146" w:lineRule="exact"/>
              <w:rPr>
                <w:sz w:val="20"/>
                <w:szCs w:val="20"/>
                <w:color w:val="auto"/>
              </w:rPr>
            </w:pPr>
            <w:r>
              <w:rPr>
                <w:rFonts w:ascii="Arial" w:cs="Arial" w:eastAsia="Arial" w:hAnsi="Arial"/>
                <w:sz w:val="13"/>
                <w:szCs w:val="13"/>
                <w:color w:val="auto"/>
              </w:rPr>
              <w:t>Nalin Miglani</w:t>
            </w:r>
          </w:p>
        </w:tc>
        <w:tc>
          <w:tcPr>
            <w:tcW w:w="3580" w:type="dxa"/>
            <w:vAlign w:val="bottom"/>
          </w:tcPr>
          <w:p>
            <w:pPr>
              <w:jc w:val="right"/>
              <w:ind w:right="98"/>
              <w:spacing w:after="0" w:line="146" w:lineRule="exact"/>
              <w:rPr>
                <w:sz w:val="20"/>
                <w:szCs w:val="20"/>
                <w:color w:val="auto"/>
              </w:rPr>
            </w:pPr>
            <w:r>
              <w:rPr>
                <w:rFonts w:ascii="Arial" w:cs="Arial" w:eastAsia="Arial" w:hAnsi="Arial"/>
                <w:sz w:val="13"/>
                <w:szCs w:val="13"/>
                <w:color w:val="auto"/>
              </w:rPr>
              <w:t>3,879</w:t>
            </w:r>
          </w:p>
        </w:tc>
        <w:tc>
          <w:tcPr>
            <w:tcW w:w="44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280" w:type="dxa"/>
            <w:vAlign w:val="bottom"/>
          </w:tcPr>
          <w:p>
            <w:pPr>
              <w:ind w:left="1060"/>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3,879</w:t>
            </w:r>
          </w:p>
        </w:tc>
      </w:tr>
      <w:tr>
        <w:trPr>
          <w:trHeight w:val="146"/>
        </w:trPr>
        <w:tc>
          <w:tcPr>
            <w:tcW w:w="3020" w:type="dxa"/>
            <w:vAlign w:val="bottom"/>
          </w:tcPr>
          <w:p>
            <w:pPr>
              <w:ind w:left="20"/>
              <w:spacing w:after="0" w:line="146" w:lineRule="exact"/>
              <w:rPr>
                <w:sz w:val="20"/>
                <w:szCs w:val="20"/>
                <w:color w:val="auto"/>
              </w:rPr>
            </w:pPr>
            <w:r>
              <w:rPr>
                <w:rFonts w:ascii="Arial" w:cs="Arial" w:eastAsia="Arial" w:hAnsi="Arial"/>
                <w:sz w:val="13"/>
                <w:szCs w:val="13"/>
                <w:color w:val="auto"/>
              </w:rPr>
              <w:t>Vikas Bhalla</w:t>
            </w:r>
          </w:p>
        </w:tc>
        <w:tc>
          <w:tcPr>
            <w:tcW w:w="3580" w:type="dxa"/>
            <w:vAlign w:val="bottom"/>
          </w:tcPr>
          <w:p>
            <w:pPr>
              <w:jc w:val="right"/>
              <w:ind w:right="98"/>
              <w:spacing w:after="0" w:line="146" w:lineRule="exact"/>
              <w:rPr>
                <w:sz w:val="20"/>
                <w:szCs w:val="20"/>
                <w:color w:val="auto"/>
              </w:rPr>
            </w:pPr>
            <w:r>
              <w:rPr>
                <w:rFonts w:ascii="Arial" w:cs="Arial" w:eastAsia="Arial" w:hAnsi="Arial"/>
                <w:sz w:val="13"/>
                <w:szCs w:val="13"/>
                <w:color w:val="auto"/>
              </w:rPr>
              <w:t>13,630</w:t>
            </w:r>
          </w:p>
        </w:tc>
        <w:tc>
          <w:tcPr>
            <w:tcW w:w="44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280" w:type="dxa"/>
            <w:vAlign w:val="bottom"/>
          </w:tcPr>
          <w:p>
            <w:pPr>
              <w:ind w:left="1060"/>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13,630</w:t>
            </w:r>
          </w:p>
        </w:tc>
      </w:tr>
      <w:tr>
        <w:trPr>
          <w:trHeight w:val="144"/>
        </w:trPr>
        <w:tc>
          <w:tcPr>
            <w:tcW w:w="3020" w:type="dxa"/>
            <w:vAlign w:val="bottom"/>
            <w:tcBorders>
              <w:bottom w:val="single" w:sz="8" w:color="auto"/>
            </w:tcBorders>
          </w:tcPr>
          <w:p>
            <w:pPr>
              <w:ind w:left="20"/>
              <w:spacing w:after="0" w:line="144" w:lineRule="exact"/>
              <w:rPr>
                <w:sz w:val="20"/>
                <w:szCs w:val="20"/>
                <w:color w:val="auto"/>
              </w:rPr>
            </w:pPr>
            <w:r>
              <w:rPr>
                <w:rFonts w:ascii="Arial" w:cs="Arial" w:eastAsia="Arial" w:hAnsi="Arial"/>
                <w:sz w:val="13"/>
                <w:szCs w:val="13"/>
                <w:color w:val="auto"/>
              </w:rPr>
              <w:t>Samuel Meckey</w:t>
            </w:r>
          </w:p>
        </w:tc>
        <w:tc>
          <w:tcPr>
            <w:tcW w:w="3580" w:type="dxa"/>
            <w:vAlign w:val="bottom"/>
            <w:tcBorders>
              <w:bottom w:val="single" w:sz="8" w:color="auto"/>
            </w:tcBorders>
          </w:tcPr>
          <w:p>
            <w:pPr>
              <w:jc w:val="right"/>
              <w:ind w:right="98"/>
              <w:spacing w:after="0" w:line="144" w:lineRule="exact"/>
              <w:rPr>
                <w:sz w:val="20"/>
                <w:szCs w:val="20"/>
                <w:color w:val="auto"/>
              </w:rPr>
            </w:pPr>
            <w:r>
              <w:rPr>
                <w:rFonts w:ascii="Arial" w:cs="Arial" w:eastAsia="Arial" w:hAnsi="Arial"/>
                <w:sz w:val="13"/>
                <w:szCs w:val="13"/>
                <w:color w:val="auto"/>
              </w:rPr>
              <w:t>4,366</w:t>
            </w:r>
          </w:p>
        </w:tc>
        <w:tc>
          <w:tcPr>
            <w:tcW w:w="440" w:type="dxa"/>
            <w:vAlign w:val="bottom"/>
            <w:tcBorders>
              <w:bottom w:val="single" w:sz="8" w:color="auto"/>
            </w:tcBorders>
          </w:tcPr>
          <w:p>
            <w:pPr>
              <w:jc w:val="right"/>
              <w:ind w:right="38"/>
              <w:spacing w:after="0" w:line="144" w:lineRule="exact"/>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ind w:left="1060"/>
              <w:spacing w:after="0" w:line="144"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1408430" cy="3333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07" w:name="page108"/>
    <w:bookmarkEnd w:id="107"/>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122" w:type="dxa"/>
        <w:tblCellMar>
          <w:top w:w="0" w:type="dxa"/>
          <w:left w:w="0" w:type="dxa"/>
          <w:bottom w:w="0" w:type="dxa"/>
          <w:right w:w="0" w:type="dxa"/>
        </w:tblCellMar>
      </w:tblPr>
      <w:tr>
        <w:trPr>
          <w:trHeight w:val="136"/>
        </w:trPr>
        <w:tc>
          <w:tcPr>
            <w:tcW w:w="4700" w:type="dxa"/>
            <w:vAlign w:val="bottom"/>
          </w:tcPr>
          <w:p>
            <w:pPr>
              <w:spacing w:after="0"/>
              <w:rPr>
                <w:sz w:val="11"/>
                <w:szCs w:val="11"/>
                <w:color w:val="auto"/>
              </w:rPr>
            </w:pPr>
          </w:p>
        </w:tc>
        <w:tc>
          <w:tcPr>
            <w:tcW w:w="5480" w:type="dxa"/>
            <w:vAlign w:val="bottom"/>
            <w:gridSpan w:val="5"/>
          </w:tcPr>
          <w:p>
            <w:pPr>
              <w:jc w:val="right"/>
              <w:spacing w:after="0"/>
              <w:rPr>
                <w:sz w:val="20"/>
                <w:szCs w:val="20"/>
                <w:color w:val="auto"/>
              </w:rPr>
            </w:pPr>
            <w:r>
              <w:rPr>
                <w:rFonts w:ascii="Arial" w:cs="Arial" w:eastAsia="Arial" w:hAnsi="Arial"/>
                <w:sz w:val="10"/>
                <w:szCs w:val="10"/>
                <w:b w:val="1"/>
                <w:bCs w:val="1"/>
                <w:color w:val="CCD9D9"/>
              </w:rPr>
              <w:t>STOCK OWNERSHIP OF DIRECTORS, EXECUTIVE OFFICERS AND CERTAIN BENEFICIAL OWNERS</w:t>
            </w:r>
          </w:p>
        </w:tc>
      </w:tr>
      <w:tr>
        <w:trPr>
          <w:trHeight w:val="281"/>
        </w:trPr>
        <w:tc>
          <w:tcPr>
            <w:tcW w:w="4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277"/>
              <w:spacing w:after="0"/>
              <w:rPr>
                <w:sz w:val="20"/>
                <w:szCs w:val="20"/>
                <w:color w:val="auto"/>
              </w:rPr>
            </w:pPr>
            <w:r>
              <w:rPr>
                <w:rFonts w:ascii="Arial" w:cs="Arial" w:eastAsia="Arial" w:hAnsi="Arial"/>
                <w:sz w:val="13"/>
                <w:szCs w:val="13"/>
                <w:b w:val="1"/>
                <w:bCs w:val="1"/>
                <w:color w:val="auto"/>
              </w:rPr>
              <w:t>Vested but</w:t>
            </w: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4"/>
        </w:trPr>
        <w:tc>
          <w:tcPr>
            <w:tcW w:w="4700" w:type="dxa"/>
            <w:vAlign w:val="bottom"/>
          </w:tcPr>
          <w:p>
            <w:pPr>
              <w:ind w:left="20"/>
              <w:spacing w:after="0" w:line="186" w:lineRule="exact"/>
              <w:rPr>
                <w:sz w:val="20"/>
                <w:szCs w:val="20"/>
                <w:color w:val="auto"/>
              </w:rPr>
            </w:pPr>
            <w:r>
              <w:rPr>
                <w:rFonts w:ascii="Arial" w:cs="Arial" w:eastAsia="Arial" w:hAnsi="Arial"/>
                <w:sz w:val="13"/>
                <w:szCs w:val="13"/>
                <w:b w:val="1"/>
                <w:bCs w:val="1"/>
                <w:color w:val="auto"/>
              </w:rPr>
              <w:t>Name and Address</w:t>
            </w:r>
            <w:r>
              <w:rPr>
                <w:rFonts w:ascii="Arial" w:cs="Arial" w:eastAsia="Arial" w:hAnsi="Arial"/>
                <w:sz w:val="21"/>
                <w:szCs w:val="21"/>
                <w:b w:val="1"/>
                <w:bCs w:val="1"/>
                <w:color w:val="auto"/>
                <w:vertAlign w:val="superscript"/>
              </w:rPr>
              <w:t>(1)</w:t>
            </w:r>
          </w:p>
        </w:tc>
        <w:tc>
          <w:tcPr>
            <w:tcW w:w="1920" w:type="dxa"/>
            <w:vAlign w:val="bottom"/>
          </w:tcPr>
          <w:p>
            <w:pPr>
              <w:jc w:val="right"/>
              <w:ind w:right="241"/>
              <w:spacing w:after="0"/>
              <w:rPr>
                <w:sz w:val="20"/>
                <w:szCs w:val="20"/>
                <w:color w:val="auto"/>
              </w:rPr>
            </w:pPr>
            <w:r>
              <w:rPr>
                <w:rFonts w:ascii="Arial" w:cs="Arial" w:eastAsia="Arial" w:hAnsi="Arial"/>
                <w:sz w:val="13"/>
                <w:szCs w:val="13"/>
                <w:b w:val="1"/>
                <w:bCs w:val="1"/>
                <w:color w:val="auto"/>
              </w:rPr>
              <w:t>Shares</w:t>
            </w:r>
          </w:p>
        </w:tc>
        <w:tc>
          <w:tcPr>
            <w:tcW w:w="420" w:type="dxa"/>
            <w:vAlign w:val="bottom"/>
          </w:tcPr>
          <w:p>
            <w:pPr>
              <w:jc w:val="right"/>
              <w:ind w:right="78"/>
              <w:spacing w:after="0" w:line="186"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w:t>
            </w:r>
          </w:p>
        </w:tc>
        <w:tc>
          <w:tcPr>
            <w:tcW w:w="1300" w:type="dxa"/>
            <w:vAlign w:val="bottom"/>
          </w:tcPr>
          <w:p>
            <w:pPr>
              <w:jc w:val="right"/>
              <w:ind w:right="77"/>
              <w:spacing w:after="0" w:line="186" w:lineRule="exact"/>
              <w:rPr>
                <w:sz w:val="20"/>
                <w:szCs w:val="20"/>
                <w:color w:val="auto"/>
              </w:rPr>
            </w:pPr>
            <w:r>
              <w:rPr>
                <w:rFonts w:ascii="Arial" w:cs="Arial" w:eastAsia="Arial" w:hAnsi="Arial"/>
                <w:sz w:val="13"/>
                <w:szCs w:val="13"/>
                <w:b w:val="1"/>
                <w:bCs w:val="1"/>
                <w:color w:val="auto"/>
                <w:w w:val="99"/>
              </w:rPr>
              <w:t>Unsettled RSUs</w:t>
            </w:r>
            <w:r>
              <w:rPr>
                <w:rFonts w:ascii="Arial" w:cs="Arial" w:eastAsia="Arial" w:hAnsi="Arial"/>
                <w:sz w:val="21"/>
                <w:szCs w:val="21"/>
                <w:b w:val="1"/>
                <w:bCs w:val="1"/>
                <w:color w:val="auto"/>
                <w:w w:val="99"/>
                <w:vertAlign w:val="superscript"/>
              </w:rPr>
              <w:t>(3)</w:t>
            </w:r>
          </w:p>
        </w:tc>
        <w:tc>
          <w:tcPr>
            <w:tcW w:w="1840" w:type="dxa"/>
            <w:vAlign w:val="bottom"/>
            <w:gridSpan w:val="2"/>
          </w:tcPr>
          <w:p>
            <w:pPr>
              <w:jc w:val="right"/>
              <w:ind w:right="1400"/>
              <w:spacing w:after="0"/>
              <w:rPr>
                <w:sz w:val="20"/>
                <w:szCs w:val="20"/>
                <w:color w:val="auto"/>
              </w:rPr>
            </w:pPr>
            <w:r>
              <w:rPr>
                <w:rFonts w:ascii="Arial" w:cs="Arial" w:eastAsia="Arial" w:hAnsi="Arial"/>
                <w:sz w:val="13"/>
                <w:szCs w:val="13"/>
                <w:b w:val="1"/>
                <w:bCs w:val="1"/>
                <w:color w:val="auto"/>
              </w:rPr>
              <w:t>Total</w:t>
            </w:r>
          </w:p>
        </w:tc>
      </w:tr>
      <w:tr>
        <w:trPr>
          <w:trHeight w:val="146"/>
        </w:trPr>
        <w:tc>
          <w:tcPr>
            <w:tcW w:w="4700" w:type="dxa"/>
            <w:vAlign w:val="bottom"/>
            <w:tcBorders>
              <w:top w:val="single" w:sz="8" w:color="479EFF"/>
              <w:bottom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479EFF"/>
              </w:rPr>
              <w:t>Directors</w:t>
            </w:r>
          </w:p>
        </w:tc>
        <w:tc>
          <w:tcPr>
            <w:tcW w:w="1920" w:type="dxa"/>
            <w:vAlign w:val="bottom"/>
            <w:tcBorders>
              <w:top w:val="single" w:sz="8" w:color="479EFF"/>
              <w:bottom w:val="single" w:sz="8" w:color="auto"/>
            </w:tcBorders>
          </w:tcPr>
          <w:p>
            <w:pPr>
              <w:spacing w:after="0"/>
              <w:rPr>
                <w:sz w:val="12"/>
                <w:szCs w:val="12"/>
                <w:color w:val="auto"/>
              </w:rPr>
            </w:pPr>
          </w:p>
        </w:tc>
        <w:tc>
          <w:tcPr>
            <w:tcW w:w="420" w:type="dxa"/>
            <w:vAlign w:val="bottom"/>
            <w:tcBorders>
              <w:top w:val="single" w:sz="8" w:color="479EFF"/>
              <w:bottom w:val="single" w:sz="8" w:color="auto"/>
            </w:tcBorders>
          </w:tcPr>
          <w:p>
            <w:pPr>
              <w:spacing w:after="0"/>
              <w:rPr>
                <w:sz w:val="12"/>
                <w:szCs w:val="12"/>
                <w:color w:val="auto"/>
              </w:rPr>
            </w:pPr>
          </w:p>
        </w:tc>
        <w:tc>
          <w:tcPr>
            <w:tcW w:w="1300" w:type="dxa"/>
            <w:vAlign w:val="bottom"/>
            <w:tcBorders>
              <w:top w:val="single" w:sz="8" w:color="479EFF"/>
              <w:bottom w:val="single" w:sz="8" w:color="auto"/>
            </w:tcBorders>
          </w:tcPr>
          <w:p>
            <w:pPr>
              <w:spacing w:after="0"/>
              <w:rPr>
                <w:sz w:val="12"/>
                <w:szCs w:val="12"/>
                <w:color w:val="auto"/>
              </w:rPr>
            </w:pPr>
          </w:p>
        </w:tc>
        <w:tc>
          <w:tcPr>
            <w:tcW w:w="540" w:type="dxa"/>
            <w:vAlign w:val="bottom"/>
            <w:tcBorders>
              <w:top w:val="single" w:sz="8" w:color="479EFF"/>
              <w:bottom w:val="single" w:sz="8" w:color="auto"/>
            </w:tcBorders>
          </w:tcPr>
          <w:p>
            <w:pPr>
              <w:spacing w:after="0"/>
              <w:rPr>
                <w:sz w:val="12"/>
                <w:szCs w:val="12"/>
                <w:color w:val="auto"/>
              </w:rPr>
            </w:pPr>
          </w:p>
        </w:tc>
        <w:tc>
          <w:tcPr>
            <w:tcW w:w="1300" w:type="dxa"/>
            <w:vAlign w:val="bottom"/>
          </w:tcPr>
          <w:p>
            <w:pPr>
              <w:spacing w:after="0"/>
              <w:rPr>
                <w:sz w:val="12"/>
                <w:szCs w:val="12"/>
                <w:color w:val="auto"/>
              </w:rPr>
            </w:pPr>
          </w:p>
        </w:tc>
      </w:tr>
      <w:tr>
        <w:trPr>
          <w:trHeight w:val="138"/>
        </w:trPr>
        <w:tc>
          <w:tcPr>
            <w:tcW w:w="4700" w:type="dxa"/>
            <w:vAlign w:val="bottom"/>
          </w:tcPr>
          <w:p>
            <w:pPr>
              <w:ind w:left="20"/>
              <w:spacing w:after="0" w:line="138" w:lineRule="exact"/>
              <w:rPr>
                <w:sz w:val="20"/>
                <w:szCs w:val="20"/>
                <w:color w:val="auto"/>
              </w:rPr>
            </w:pPr>
            <w:r>
              <w:rPr>
                <w:rFonts w:ascii="Arial" w:cs="Arial" w:eastAsia="Arial" w:hAnsi="Arial"/>
                <w:sz w:val="13"/>
                <w:szCs w:val="13"/>
                <w:color w:val="auto"/>
              </w:rPr>
              <w:t>David Kelso</w:t>
            </w:r>
          </w:p>
        </w:tc>
        <w:tc>
          <w:tcPr>
            <w:tcW w:w="1920" w:type="dxa"/>
            <w:vAlign w:val="bottom"/>
          </w:tcPr>
          <w:p>
            <w:pPr>
              <w:jc w:val="right"/>
              <w:ind w:right="21"/>
              <w:spacing w:after="0" w:line="138" w:lineRule="exact"/>
              <w:rPr>
                <w:sz w:val="20"/>
                <w:szCs w:val="20"/>
                <w:color w:val="auto"/>
              </w:rPr>
            </w:pPr>
            <w:r>
              <w:rPr>
                <w:rFonts w:ascii="Arial" w:cs="Arial" w:eastAsia="Arial" w:hAnsi="Arial"/>
                <w:sz w:val="10"/>
                <w:szCs w:val="10"/>
                <w:color w:val="auto"/>
              </w:rPr>
              <w:t>26,663</w:t>
            </w:r>
            <w:r>
              <w:rPr>
                <w:rFonts w:ascii="Arial" w:cs="Arial" w:eastAsia="Arial" w:hAnsi="Arial"/>
                <w:sz w:val="15"/>
                <w:szCs w:val="15"/>
                <w:color w:val="auto"/>
                <w:vertAlign w:val="superscript"/>
              </w:rPr>
              <w:t>(9)</w:t>
            </w:r>
          </w:p>
        </w:tc>
        <w:tc>
          <w:tcPr>
            <w:tcW w:w="420" w:type="dxa"/>
            <w:vAlign w:val="bottom"/>
          </w:tcPr>
          <w:p>
            <w:pPr>
              <w:jc w:val="right"/>
              <w:ind w:right="38"/>
              <w:spacing w:after="0" w:line="138"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line="138" w:lineRule="exact"/>
              <w:rPr>
                <w:sz w:val="20"/>
                <w:szCs w:val="20"/>
                <w:color w:val="auto"/>
              </w:rPr>
            </w:pPr>
            <w:r>
              <w:rPr>
                <w:rFonts w:ascii="Arial" w:cs="Arial" w:eastAsia="Arial" w:hAnsi="Arial"/>
                <w:sz w:val="13"/>
                <w:szCs w:val="13"/>
                <w:color w:val="auto"/>
              </w:rPr>
              <w:t>38,061</w:t>
            </w:r>
          </w:p>
        </w:tc>
        <w:tc>
          <w:tcPr>
            <w:tcW w:w="1840" w:type="dxa"/>
            <w:vAlign w:val="bottom"/>
            <w:gridSpan w:val="2"/>
          </w:tcPr>
          <w:p>
            <w:pPr>
              <w:jc w:val="right"/>
              <w:ind w:right="1300"/>
              <w:spacing w:after="0" w:line="138" w:lineRule="exact"/>
              <w:rPr>
                <w:sz w:val="20"/>
                <w:szCs w:val="20"/>
                <w:color w:val="auto"/>
              </w:rPr>
            </w:pPr>
            <w:r>
              <w:rPr>
                <w:rFonts w:ascii="Arial" w:cs="Arial" w:eastAsia="Arial" w:hAnsi="Arial"/>
                <w:sz w:val="13"/>
                <w:szCs w:val="13"/>
                <w:color w:val="auto"/>
              </w:rPr>
              <w:t>64,724</w:t>
            </w:r>
          </w:p>
        </w:tc>
      </w:tr>
      <w:tr>
        <w:trPr>
          <w:trHeight w:val="146"/>
        </w:trPr>
        <w:tc>
          <w:tcPr>
            <w:tcW w:w="4700" w:type="dxa"/>
            <w:vAlign w:val="bottom"/>
          </w:tcPr>
          <w:p>
            <w:pPr>
              <w:ind w:left="20"/>
              <w:spacing w:after="0" w:line="146" w:lineRule="exact"/>
              <w:rPr>
                <w:sz w:val="20"/>
                <w:szCs w:val="20"/>
                <w:color w:val="auto"/>
              </w:rPr>
            </w:pPr>
            <w:r>
              <w:rPr>
                <w:rFonts w:ascii="Arial" w:cs="Arial" w:eastAsia="Arial" w:hAnsi="Arial"/>
                <w:sz w:val="13"/>
                <w:szCs w:val="13"/>
                <w:color w:val="auto"/>
              </w:rPr>
              <w:t>Deborah Kerr</w:t>
            </w:r>
          </w:p>
        </w:tc>
        <w:tc>
          <w:tcPr>
            <w:tcW w:w="1920" w:type="dxa"/>
            <w:vAlign w:val="bottom"/>
          </w:tcPr>
          <w:p>
            <w:pPr>
              <w:jc w:val="right"/>
              <w:ind w:right="141"/>
              <w:spacing w:after="0" w:line="146"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line="146" w:lineRule="exact"/>
              <w:rPr>
                <w:sz w:val="20"/>
                <w:szCs w:val="20"/>
                <w:color w:val="auto"/>
              </w:rPr>
            </w:pPr>
            <w:r>
              <w:rPr>
                <w:rFonts w:ascii="Arial" w:cs="Arial" w:eastAsia="Arial" w:hAnsi="Arial"/>
                <w:sz w:val="13"/>
                <w:szCs w:val="13"/>
                <w:color w:val="auto"/>
              </w:rPr>
              <w:t>11,923</w:t>
            </w:r>
          </w:p>
        </w:tc>
        <w:tc>
          <w:tcPr>
            <w:tcW w:w="1840" w:type="dxa"/>
            <w:vAlign w:val="bottom"/>
            <w:gridSpan w:val="2"/>
          </w:tcPr>
          <w:p>
            <w:pPr>
              <w:jc w:val="right"/>
              <w:ind w:right="1300"/>
              <w:spacing w:after="0" w:line="146" w:lineRule="exact"/>
              <w:rPr>
                <w:sz w:val="20"/>
                <w:szCs w:val="20"/>
                <w:color w:val="auto"/>
              </w:rPr>
            </w:pPr>
            <w:r>
              <w:rPr>
                <w:rFonts w:ascii="Arial" w:cs="Arial" w:eastAsia="Arial" w:hAnsi="Arial"/>
                <w:sz w:val="13"/>
                <w:szCs w:val="13"/>
                <w:color w:val="auto"/>
              </w:rPr>
              <w:t>11,923</w:t>
            </w:r>
          </w:p>
        </w:tc>
      </w:tr>
      <w:tr>
        <w:trPr>
          <w:trHeight w:val="146"/>
        </w:trPr>
        <w:tc>
          <w:tcPr>
            <w:tcW w:w="4700" w:type="dxa"/>
            <w:vAlign w:val="bottom"/>
          </w:tcPr>
          <w:p>
            <w:pPr>
              <w:ind w:left="20"/>
              <w:spacing w:after="0" w:line="146" w:lineRule="exact"/>
              <w:rPr>
                <w:sz w:val="20"/>
                <w:szCs w:val="20"/>
                <w:color w:val="auto"/>
              </w:rPr>
            </w:pPr>
            <w:r>
              <w:rPr>
                <w:rFonts w:ascii="Arial" w:cs="Arial" w:eastAsia="Arial" w:hAnsi="Arial"/>
                <w:sz w:val="13"/>
                <w:szCs w:val="13"/>
                <w:color w:val="auto"/>
              </w:rPr>
              <w:t>Anne E. Minto</w:t>
            </w:r>
          </w:p>
        </w:tc>
        <w:tc>
          <w:tcPr>
            <w:tcW w:w="1920" w:type="dxa"/>
            <w:vAlign w:val="bottom"/>
          </w:tcPr>
          <w:p>
            <w:pPr>
              <w:jc w:val="right"/>
              <w:spacing w:after="0" w:line="146" w:lineRule="exact"/>
              <w:rPr>
                <w:sz w:val="20"/>
                <w:szCs w:val="20"/>
                <w:color w:val="auto"/>
              </w:rPr>
            </w:pPr>
            <w:r>
              <w:rPr>
                <w:rFonts w:ascii="Arial" w:cs="Arial" w:eastAsia="Arial" w:hAnsi="Arial"/>
                <w:sz w:val="10"/>
                <w:szCs w:val="10"/>
                <w:color w:val="auto"/>
              </w:rPr>
              <w:t>3,093</w:t>
            </w:r>
            <w:r>
              <w:rPr>
                <w:rFonts w:ascii="Arial" w:cs="Arial" w:eastAsia="Arial" w:hAnsi="Arial"/>
                <w:sz w:val="16"/>
                <w:szCs w:val="16"/>
                <w:color w:val="auto"/>
                <w:vertAlign w:val="superscript"/>
              </w:rPr>
              <w:t>(10)</w:t>
            </w:r>
          </w:p>
        </w:tc>
        <w:tc>
          <w:tcPr>
            <w:tcW w:w="42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line="146" w:lineRule="exact"/>
              <w:rPr>
                <w:sz w:val="20"/>
                <w:szCs w:val="20"/>
                <w:color w:val="auto"/>
              </w:rPr>
            </w:pPr>
            <w:r>
              <w:rPr>
                <w:rFonts w:ascii="Arial" w:cs="Arial" w:eastAsia="Arial" w:hAnsi="Arial"/>
                <w:sz w:val="13"/>
                <w:szCs w:val="13"/>
                <w:color w:val="auto"/>
              </w:rPr>
              <w:t>19,074</w:t>
            </w:r>
          </w:p>
        </w:tc>
        <w:tc>
          <w:tcPr>
            <w:tcW w:w="1840" w:type="dxa"/>
            <w:vAlign w:val="bottom"/>
            <w:gridSpan w:val="2"/>
          </w:tcPr>
          <w:p>
            <w:pPr>
              <w:jc w:val="right"/>
              <w:ind w:right="1300"/>
              <w:spacing w:after="0" w:line="146" w:lineRule="exact"/>
              <w:rPr>
                <w:sz w:val="20"/>
                <w:szCs w:val="20"/>
                <w:color w:val="auto"/>
              </w:rPr>
            </w:pPr>
            <w:r>
              <w:rPr>
                <w:rFonts w:ascii="Arial" w:cs="Arial" w:eastAsia="Arial" w:hAnsi="Arial"/>
                <w:sz w:val="13"/>
                <w:szCs w:val="13"/>
                <w:color w:val="auto"/>
              </w:rPr>
              <w:t>22,167</w:t>
            </w:r>
          </w:p>
        </w:tc>
      </w:tr>
      <w:tr>
        <w:trPr>
          <w:trHeight w:val="146"/>
        </w:trPr>
        <w:tc>
          <w:tcPr>
            <w:tcW w:w="4700" w:type="dxa"/>
            <w:vAlign w:val="bottom"/>
          </w:tcPr>
          <w:p>
            <w:pPr>
              <w:ind w:left="20"/>
              <w:spacing w:after="0" w:line="146" w:lineRule="exact"/>
              <w:rPr>
                <w:sz w:val="20"/>
                <w:szCs w:val="20"/>
                <w:color w:val="auto"/>
              </w:rPr>
            </w:pPr>
            <w:r>
              <w:rPr>
                <w:rFonts w:ascii="Arial" w:cs="Arial" w:eastAsia="Arial" w:hAnsi="Arial"/>
                <w:sz w:val="13"/>
                <w:szCs w:val="13"/>
                <w:color w:val="auto"/>
              </w:rPr>
              <w:t>Som Mittal</w:t>
            </w:r>
          </w:p>
        </w:tc>
        <w:tc>
          <w:tcPr>
            <w:tcW w:w="1920" w:type="dxa"/>
            <w:vAlign w:val="bottom"/>
          </w:tcPr>
          <w:p>
            <w:pPr>
              <w:jc w:val="right"/>
              <w:ind w:right="141"/>
              <w:spacing w:after="0" w:line="146" w:lineRule="exact"/>
              <w:rPr>
                <w:sz w:val="20"/>
                <w:szCs w:val="20"/>
                <w:color w:val="auto"/>
              </w:rPr>
            </w:pPr>
            <w:r>
              <w:rPr>
                <w:rFonts w:ascii="Arial" w:cs="Arial" w:eastAsia="Arial" w:hAnsi="Arial"/>
                <w:sz w:val="13"/>
                <w:szCs w:val="13"/>
                <w:color w:val="auto"/>
              </w:rPr>
              <w:t>5,657</w:t>
            </w:r>
          </w:p>
        </w:tc>
        <w:tc>
          <w:tcPr>
            <w:tcW w:w="42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line="146" w:lineRule="exact"/>
              <w:rPr>
                <w:sz w:val="20"/>
                <w:szCs w:val="20"/>
                <w:color w:val="auto"/>
              </w:rPr>
            </w:pPr>
            <w:r>
              <w:rPr>
                <w:rFonts w:ascii="Arial" w:cs="Arial" w:eastAsia="Arial" w:hAnsi="Arial"/>
                <w:sz w:val="13"/>
                <w:szCs w:val="13"/>
                <w:color w:val="auto"/>
              </w:rPr>
              <w:t>10,670</w:t>
            </w:r>
          </w:p>
        </w:tc>
        <w:tc>
          <w:tcPr>
            <w:tcW w:w="1840" w:type="dxa"/>
            <w:vAlign w:val="bottom"/>
            <w:gridSpan w:val="2"/>
          </w:tcPr>
          <w:p>
            <w:pPr>
              <w:jc w:val="right"/>
              <w:ind w:right="1300"/>
              <w:spacing w:after="0" w:line="146" w:lineRule="exact"/>
              <w:rPr>
                <w:sz w:val="20"/>
                <w:szCs w:val="20"/>
                <w:color w:val="auto"/>
              </w:rPr>
            </w:pPr>
            <w:r>
              <w:rPr>
                <w:rFonts w:ascii="Arial" w:cs="Arial" w:eastAsia="Arial" w:hAnsi="Arial"/>
                <w:sz w:val="13"/>
                <w:szCs w:val="13"/>
                <w:color w:val="auto"/>
              </w:rPr>
              <w:t>16,327</w:t>
            </w:r>
          </w:p>
        </w:tc>
      </w:tr>
      <w:tr>
        <w:trPr>
          <w:trHeight w:val="146"/>
        </w:trPr>
        <w:tc>
          <w:tcPr>
            <w:tcW w:w="4700" w:type="dxa"/>
            <w:vAlign w:val="bottom"/>
          </w:tcPr>
          <w:p>
            <w:pPr>
              <w:ind w:left="20"/>
              <w:spacing w:after="0" w:line="146" w:lineRule="exact"/>
              <w:rPr>
                <w:sz w:val="20"/>
                <w:szCs w:val="20"/>
                <w:color w:val="auto"/>
              </w:rPr>
            </w:pPr>
            <w:r>
              <w:rPr>
                <w:rFonts w:ascii="Arial" w:cs="Arial" w:eastAsia="Arial" w:hAnsi="Arial"/>
                <w:sz w:val="13"/>
                <w:szCs w:val="13"/>
                <w:color w:val="auto"/>
              </w:rPr>
              <w:t>Clyde W. Ostler</w:t>
            </w:r>
          </w:p>
        </w:tc>
        <w:tc>
          <w:tcPr>
            <w:tcW w:w="1920" w:type="dxa"/>
            <w:vAlign w:val="bottom"/>
          </w:tcPr>
          <w:p>
            <w:pPr>
              <w:jc w:val="right"/>
              <w:ind w:right="141"/>
              <w:spacing w:after="0" w:line="146" w:lineRule="exact"/>
              <w:rPr>
                <w:sz w:val="20"/>
                <w:szCs w:val="20"/>
                <w:color w:val="auto"/>
              </w:rPr>
            </w:pPr>
            <w:r>
              <w:rPr>
                <w:rFonts w:ascii="Arial" w:cs="Arial" w:eastAsia="Arial" w:hAnsi="Arial"/>
                <w:sz w:val="13"/>
                <w:szCs w:val="13"/>
                <w:color w:val="auto"/>
              </w:rPr>
              <w:t>22,261</w:t>
            </w:r>
          </w:p>
        </w:tc>
        <w:tc>
          <w:tcPr>
            <w:tcW w:w="42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line="146" w:lineRule="exact"/>
              <w:rPr>
                <w:sz w:val="20"/>
                <w:szCs w:val="20"/>
                <w:color w:val="auto"/>
              </w:rPr>
            </w:pPr>
            <w:r>
              <w:rPr>
                <w:rFonts w:ascii="Arial" w:cs="Arial" w:eastAsia="Arial" w:hAnsi="Arial"/>
                <w:sz w:val="13"/>
                <w:szCs w:val="13"/>
                <w:color w:val="auto"/>
              </w:rPr>
              <w:t>36,241</w:t>
            </w:r>
          </w:p>
        </w:tc>
        <w:tc>
          <w:tcPr>
            <w:tcW w:w="1840" w:type="dxa"/>
            <w:vAlign w:val="bottom"/>
            <w:gridSpan w:val="2"/>
          </w:tcPr>
          <w:p>
            <w:pPr>
              <w:jc w:val="right"/>
              <w:ind w:right="1300"/>
              <w:spacing w:after="0" w:line="146" w:lineRule="exact"/>
              <w:rPr>
                <w:sz w:val="20"/>
                <w:szCs w:val="20"/>
                <w:color w:val="auto"/>
              </w:rPr>
            </w:pPr>
            <w:r>
              <w:rPr>
                <w:rFonts w:ascii="Arial" w:cs="Arial" w:eastAsia="Arial" w:hAnsi="Arial"/>
                <w:sz w:val="13"/>
                <w:szCs w:val="13"/>
                <w:color w:val="auto"/>
              </w:rPr>
              <w:t>58,502</w:t>
            </w:r>
          </w:p>
        </w:tc>
      </w:tr>
      <w:tr>
        <w:trPr>
          <w:trHeight w:val="146"/>
        </w:trPr>
        <w:tc>
          <w:tcPr>
            <w:tcW w:w="4700" w:type="dxa"/>
            <w:vAlign w:val="bottom"/>
          </w:tcPr>
          <w:p>
            <w:pPr>
              <w:ind w:left="20"/>
              <w:spacing w:after="0" w:line="146" w:lineRule="exact"/>
              <w:rPr>
                <w:sz w:val="20"/>
                <w:szCs w:val="20"/>
                <w:color w:val="auto"/>
              </w:rPr>
            </w:pPr>
            <w:r>
              <w:rPr>
                <w:rFonts w:ascii="Arial" w:cs="Arial" w:eastAsia="Arial" w:hAnsi="Arial"/>
                <w:sz w:val="13"/>
                <w:szCs w:val="13"/>
                <w:color w:val="auto"/>
              </w:rPr>
              <w:t>Vikram S. Pandit</w:t>
            </w:r>
          </w:p>
        </w:tc>
        <w:tc>
          <w:tcPr>
            <w:tcW w:w="1920" w:type="dxa"/>
            <w:vAlign w:val="bottom"/>
          </w:tcPr>
          <w:p>
            <w:pPr>
              <w:jc w:val="right"/>
              <w:ind w:right="141"/>
              <w:spacing w:after="0" w:line="146"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line="146" w:lineRule="exact"/>
              <w:rPr>
                <w:sz w:val="20"/>
                <w:szCs w:val="20"/>
                <w:color w:val="auto"/>
              </w:rPr>
            </w:pPr>
            <w:r>
              <w:rPr>
                <w:rFonts w:ascii="Arial" w:cs="Arial" w:eastAsia="Arial" w:hAnsi="Arial"/>
                <w:sz w:val="13"/>
                <w:szCs w:val="13"/>
                <w:color w:val="auto"/>
              </w:rPr>
              <w:t>2,995</w:t>
            </w:r>
          </w:p>
        </w:tc>
        <w:tc>
          <w:tcPr>
            <w:tcW w:w="1840" w:type="dxa"/>
            <w:vAlign w:val="bottom"/>
            <w:gridSpan w:val="2"/>
          </w:tcPr>
          <w:p>
            <w:pPr>
              <w:jc w:val="right"/>
              <w:ind w:right="1300"/>
              <w:spacing w:after="0" w:line="146" w:lineRule="exact"/>
              <w:rPr>
                <w:sz w:val="20"/>
                <w:szCs w:val="20"/>
                <w:color w:val="auto"/>
              </w:rPr>
            </w:pPr>
            <w:r>
              <w:rPr>
                <w:rFonts w:ascii="Arial" w:cs="Arial" w:eastAsia="Arial" w:hAnsi="Arial"/>
                <w:sz w:val="13"/>
                <w:szCs w:val="13"/>
                <w:color w:val="auto"/>
              </w:rPr>
              <w:t>2,995</w:t>
            </w:r>
          </w:p>
        </w:tc>
      </w:tr>
      <w:tr>
        <w:trPr>
          <w:trHeight w:val="146"/>
        </w:trPr>
        <w:tc>
          <w:tcPr>
            <w:tcW w:w="4700" w:type="dxa"/>
            <w:vAlign w:val="bottom"/>
          </w:tcPr>
          <w:p>
            <w:pPr>
              <w:ind w:left="20"/>
              <w:spacing w:after="0" w:line="146" w:lineRule="exact"/>
              <w:rPr>
                <w:sz w:val="20"/>
                <w:szCs w:val="20"/>
                <w:color w:val="auto"/>
              </w:rPr>
            </w:pPr>
            <w:r>
              <w:rPr>
                <w:rFonts w:ascii="Arial" w:cs="Arial" w:eastAsia="Arial" w:hAnsi="Arial"/>
                <w:sz w:val="13"/>
                <w:szCs w:val="13"/>
                <w:color w:val="auto"/>
              </w:rPr>
              <w:t>Kristy Pipes</w:t>
            </w:r>
          </w:p>
        </w:tc>
        <w:tc>
          <w:tcPr>
            <w:tcW w:w="1920" w:type="dxa"/>
            <w:vAlign w:val="bottom"/>
          </w:tcPr>
          <w:p>
            <w:pPr>
              <w:jc w:val="right"/>
              <w:ind w:right="141"/>
              <w:spacing w:after="0" w:line="146"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line="146" w:lineRule="exact"/>
              <w:rPr>
                <w:sz w:val="20"/>
                <w:szCs w:val="20"/>
                <w:color w:val="auto"/>
              </w:rPr>
            </w:pPr>
            <w:r>
              <w:rPr>
                <w:rFonts w:ascii="Arial" w:cs="Arial" w:eastAsia="Arial" w:hAnsi="Arial"/>
                <w:sz w:val="13"/>
                <w:szCs w:val="13"/>
                <w:color w:val="auto"/>
              </w:rPr>
              <w:t>0</w:t>
            </w:r>
          </w:p>
        </w:tc>
        <w:tc>
          <w:tcPr>
            <w:tcW w:w="1840" w:type="dxa"/>
            <w:vAlign w:val="bottom"/>
            <w:gridSpan w:val="2"/>
          </w:tcPr>
          <w:p>
            <w:pPr>
              <w:jc w:val="right"/>
              <w:ind w:right="1300"/>
              <w:spacing w:after="0" w:line="146" w:lineRule="exact"/>
              <w:rPr>
                <w:sz w:val="20"/>
                <w:szCs w:val="20"/>
                <w:color w:val="auto"/>
              </w:rPr>
            </w:pPr>
            <w:r>
              <w:rPr>
                <w:rFonts w:ascii="Arial" w:cs="Arial" w:eastAsia="Arial" w:hAnsi="Arial"/>
                <w:sz w:val="13"/>
                <w:szCs w:val="13"/>
                <w:color w:val="auto"/>
              </w:rPr>
              <w:t>0</w:t>
            </w:r>
          </w:p>
        </w:tc>
      </w:tr>
      <w:tr>
        <w:trPr>
          <w:trHeight w:val="146"/>
        </w:trPr>
        <w:tc>
          <w:tcPr>
            <w:tcW w:w="4700" w:type="dxa"/>
            <w:vAlign w:val="bottom"/>
          </w:tcPr>
          <w:p>
            <w:pPr>
              <w:ind w:left="20"/>
              <w:spacing w:after="0" w:line="146" w:lineRule="exact"/>
              <w:rPr>
                <w:sz w:val="20"/>
                <w:szCs w:val="20"/>
                <w:color w:val="auto"/>
              </w:rPr>
            </w:pPr>
            <w:r>
              <w:rPr>
                <w:rFonts w:ascii="Arial" w:cs="Arial" w:eastAsia="Arial" w:hAnsi="Arial"/>
                <w:sz w:val="13"/>
                <w:szCs w:val="13"/>
                <w:color w:val="auto"/>
              </w:rPr>
              <w:t>Nitin Sahney</w:t>
            </w:r>
          </w:p>
        </w:tc>
        <w:tc>
          <w:tcPr>
            <w:tcW w:w="1920" w:type="dxa"/>
            <w:vAlign w:val="bottom"/>
          </w:tcPr>
          <w:p>
            <w:pPr>
              <w:jc w:val="right"/>
              <w:ind w:right="141"/>
              <w:spacing w:after="0" w:line="146"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line="146" w:lineRule="exact"/>
              <w:rPr>
                <w:sz w:val="20"/>
                <w:szCs w:val="20"/>
                <w:color w:val="auto"/>
              </w:rPr>
            </w:pPr>
            <w:r>
              <w:rPr>
                <w:rFonts w:ascii="Arial" w:cs="Arial" w:eastAsia="Arial" w:hAnsi="Arial"/>
                <w:sz w:val="13"/>
                <w:szCs w:val="13"/>
                <w:color w:val="auto"/>
              </w:rPr>
              <w:t>8,499</w:t>
            </w:r>
          </w:p>
        </w:tc>
        <w:tc>
          <w:tcPr>
            <w:tcW w:w="1840" w:type="dxa"/>
            <w:vAlign w:val="bottom"/>
            <w:gridSpan w:val="2"/>
          </w:tcPr>
          <w:p>
            <w:pPr>
              <w:jc w:val="right"/>
              <w:ind w:right="1300"/>
              <w:spacing w:after="0" w:line="146" w:lineRule="exact"/>
              <w:rPr>
                <w:sz w:val="20"/>
                <w:szCs w:val="20"/>
                <w:color w:val="auto"/>
              </w:rPr>
            </w:pPr>
            <w:r>
              <w:rPr>
                <w:rFonts w:ascii="Arial" w:cs="Arial" w:eastAsia="Arial" w:hAnsi="Arial"/>
                <w:sz w:val="13"/>
                <w:szCs w:val="13"/>
                <w:color w:val="auto"/>
              </w:rPr>
              <w:t>8,499</w:t>
            </w:r>
          </w:p>
        </w:tc>
      </w:tr>
      <w:tr>
        <w:trPr>
          <w:trHeight w:val="146"/>
        </w:trPr>
        <w:tc>
          <w:tcPr>
            <w:tcW w:w="4700" w:type="dxa"/>
            <w:vAlign w:val="bottom"/>
          </w:tcPr>
          <w:p>
            <w:pPr>
              <w:ind w:left="20"/>
              <w:spacing w:after="0" w:line="146" w:lineRule="exact"/>
              <w:rPr>
                <w:sz w:val="20"/>
                <w:szCs w:val="20"/>
                <w:color w:val="auto"/>
              </w:rPr>
            </w:pPr>
            <w:r>
              <w:rPr>
                <w:rFonts w:ascii="Arial" w:cs="Arial" w:eastAsia="Arial" w:hAnsi="Arial"/>
                <w:sz w:val="13"/>
                <w:szCs w:val="13"/>
                <w:color w:val="auto"/>
              </w:rPr>
              <w:t>Garen K. Staglin</w:t>
            </w:r>
          </w:p>
        </w:tc>
        <w:tc>
          <w:tcPr>
            <w:tcW w:w="1920" w:type="dxa"/>
            <w:vAlign w:val="bottom"/>
          </w:tcPr>
          <w:p>
            <w:pPr>
              <w:jc w:val="right"/>
              <w:spacing w:after="0" w:line="146" w:lineRule="exact"/>
              <w:rPr>
                <w:sz w:val="20"/>
                <w:szCs w:val="20"/>
                <w:color w:val="auto"/>
              </w:rPr>
            </w:pPr>
            <w:r>
              <w:rPr>
                <w:rFonts w:ascii="Arial" w:cs="Arial" w:eastAsia="Arial" w:hAnsi="Arial"/>
                <w:sz w:val="10"/>
                <w:szCs w:val="10"/>
                <w:color w:val="auto"/>
              </w:rPr>
              <w:t>23,753</w:t>
            </w:r>
            <w:r>
              <w:rPr>
                <w:rFonts w:ascii="Arial" w:cs="Arial" w:eastAsia="Arial" w:hAnsi="Arial"/>
                <w:sz w:val="16"/>
                <w:szCs w:val="16"/>
                <w:color w:val="auto"/>
                <w:vertAlign w:val="superscript"/>
              </w:rPr>
              <w:t>(11)</w:t>
            </w:r>
          </w:p>
        </w:tc>
        <w:tc>
          <w:tcPr>
            <w:tcW w:w="420" w:type="dxa"/>
            <w:vAlign w:val="bottom"/>
          </w:tcPr>
          <w:p>
            <w:pPr>
              <w:jc w:val="right"/>
              <w:ind w:right="38"/>
              <w:spacing w:after="0" w:line="146"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line="146" w:lineRule="exact"/>
              <w:rPr>
                <w:sz w:val="20"/>
                <w:szCs w:val="20"/>
                <w:color w:val="auto"/>
              </w:rPr>
            </w:pPr>
            <w:r>
              <w:rPr>
                <w:rFonts w:ascii="Arial" w:cs="Arial" w:eastAsia="Arial" w:hAnsi="Arial"/>
                <w:sz w:val="13"/>
                <w:szCs w:val="13"/>
                <w:color w:val="auto"/>
              </w:rPr>
              <w:t>51,139</w:t>
            </w:r>
          </w:p>
        </w:tc>
        <w:tc>
          <w:tcPr>
            <w:tcW w:w="1840" w:type="dxa"/>
            <w:vAlign w:val="bottom"/>
            <w:gridSpan w:val="2"/>
          </w:tcPr>
          <w:p>
            <w:pPr>
              <w:jc w:val="right"/>
              <w:ind w:right="1300"/>
              <w:spacing w:after="0" w:line="146" w:lineRule="exact"/>
              <w:rPr>
                <w:sz w:val="20"/>
                <w:szCs w:val="20"/>
                <w:color w:val="auto"/>
              </w:rPr>
            </w:pPr>
            <w:r>
              <w:rPr>
                <w:rFonts w:ascii="Arial" w:cs="Arial" w:eastAsia="Arial" w:hAnsi="Arial"/>
                <w:sz w:val="13"/>
                <w:szCs w:val="13"/>
                <w:color w:val="auto"/>
              </w:rPr>
              <w:t>74,892</w:t>
            </w:r>
          </w:p>
        </w:tc>
      </w:tr>
      <w:tr>
        <w:trPr>
          <w:trHeight w:val="144"/>
        </w:trPr>
        <w:tc>
          <w:tcPr>
            <w:tcW w:w="4700" w:type="dxa"/>
            <w:vAlign w:val="bottom"/>
          </w:tcPr>
          <w:p>
            <w:pPr>
              <w:ind w:left="20"/>
              <w:spacing w:after="0" w:line="144" w:lineRule="exact"/>
              <w:rPr>
                <w:sz w:val="20"/>
                <w:szCs w:val="20"/>
                <w:color w:val="auto"/>
              </w:rPr>
            </w:pPr>
            <w:r>
              <w:rPr>
                <w:rFonts w:ascii="Arial" w:cs="Arial" w:eastAsia="Arial" w:hAnsi="Arial"/>
                <w:sz w:val="13"/>
                <w:szCs w:val="13"/>
                <w:color w:val="auto"/>
              </w:rPr>
              <w:t>Jaynie M. Studenmund</w:t>
            </w:r>
          </w:p>
        </w:tc>
        <w:tc>
          <w:tcPr>
            <w:tcW w:w="1920" w:type="dxa"/>
            <w:vAlign w:val="bottom"/>
          </w:tcPr>
          <w:p>
            <w:pPr>
              <w:jc w:val="right"/>
              <w:ind w:right="141"/>
              <w:spacing w:after="0" w:line="144" w:lineRule="exact"/>
              <w:rPr>
                <w:sz w:val="20"/>
                <w:szCs w:val="20"/>
                <w:color w:val="auto"/>
              </w:rPr>
            </w:pPr>
            <w:r>
              <w:rPr>
                <w:rFonts w:ascii="Arial" w:cs="Arial" w:eastAsia="Arial" w:hAnsi="Arial"/>
                <w:sz w:val="13"/>
                <w:szCs w:val="13"/>
                <w:color w:val="auto"/>
              </w:rPr>
              <w:t>2,220</w:t>
            </w:r>
          </w:p>
        </w:tc>
        <w:tc>
          <w:tcPr>
            <w:tcW w:w="420" w:type="dxa"/>
            <w:vAlign w:val="bottom"/>
          </w:tcPr>
          <w:p>
            <w:pPr>
              <w:jc w:val="right"/>
              <w:ind w:right="38"/>
              <w:spacing w:after="0" w:line="144"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3,036</w:t>
            </w:r>
          </w:p>
        </w:tc>
        <w:tc>
          <w:tcPr>
            <w:tcW w:w="1840" w:type="dxa"/>
            <w:vAlign w:val="bottom"/>
            <w:gridSpan w:val="2"/>
          </w:tcPr>
          <w:p>
            <w:pPr>
              <w:jc w:val="right"/>
              <w:ind w:right="1300"/>
              <w:spacing w:after="0" w:line="144" w:lineRule="exact"/>
              <w:rPr>
                <w:sz w:val="20"/>
                <w:szCs w:val="20"/>
                <w:color w:val="auto"/>
              </w:rPr>
            </w:pPr>
            <w:r>
              <w:rPr>
                <w:rFonts w:ascii="Arial" w:cs="Arial" w:eastAsia="Arial" w:hAnsi="Arial"/>
                <w:sz w:val="13"/>
                <w:szCs w:val="13"/>
                <w:color w:val="auto"/>
              </w:rPr>
              <w:t>5,256</w:t>
            </w:r>
          </w:p>
        </w:tc>
      </w:tr>
      <w:tr>
        <w:trPr>
          <w:trHeight w:val="174"/>
        </w:trPr>
        <w:tc>
          <w:tcPr>
            <w:tcW w:w="4700" w:type="dxa"/>
            <w:vAlign w:val="bottom"/>
            <w:tcBorders>
              <w:top w:val="single" w:sz="8" w:color="auto"/>
              <w:bottom w:val="single" w:sz="8" w:color="479EFF"/>
            </w:tcBorders>
          </w:tcPr>
          <w:p>
            <w:pPr>
              <w:ind w:left="20"/>
              <w:spacing w:after="0" w:line="165" w:lineRule="exact"/>
              <w:rPr>
                <w:sz w:val="20"/>
                <w:szCs w:val="20"/>
                <w:color w:val="auto"/>
              </w:rPr>
            </w:pPr>
            <w:r>
              <w:rPr>
                <w:rFonts w:ascii="Arial" w:cs="Arial" w:eastAsia="Arial" w:hAnsi="Arial"/>
                <w:sz w:val="12"/>
                <w:szCs w:val="12"/>
                <w:b w:val="1"/>
                <w:bCs w:val="1"/>
                <w:color w:val="auto"/>
              </w:rPr>
              <w:t>All current directors and executive officers as a group (18 people)</w:t>
            </w:r>
            <w:r>
              <w:rPr>
                <w:rFonts w:ascii="Arial" w:cs="Arial" w:eastAsia="Arial" w:hAnsi="Arial"/>
                <w:sz w:val="19"/>
                <w:szCs w:val="19"/>
                <w:b w:val="1"/>
                <w:bCs w:val="1"/>
                <w:color w:val="auto"/>
                <w:vertAlign w:val="superscript"/>
              </w:rPr>
              <w:t>(12)</w:t>
            </w:r>
          </w:p>
        </w:tc>
        <w:tc>
          <w:tcPr>
            <w:tcW w:w="1920" w:type="dxa"/>
            <w:vAlign w:val="bottom"/>
            <w:tcBorders>
              <w:top w:val="single" w:sz="8" w:color="auto"/>
              <w:bottom w:val="single" w:sz="8" w:color="479EFF"/>
            </w:tcBorders>
          </w:tcPr>
          <w:p>
            <w:pPr>
              <w:jc w:val="right"/>
              <w:spacing w:after="0" w:line="165" w:lineRule="exact"/>
              <w:rPr>
                <w:sz w:val="20"/>
                <w:szCs w:val="20"/>
                <w:color w:val="auto"/>
              </w:rPr>
            </w:pPr>
            <w:r>
              <w:rPr>
                <w:rFonts w:ascii="Arial" w:cs="Arial" w:eastAsia="Arial" w:hAnsi="Arial"/>
                <w:sz w:val="12"/>
                <w:szCs w:val="12"/>
                <w:b w:val="1"/>
                <w:bCs w:val="1"/>
                <w:color w:val="auto"/>
              </w:rPr>
              <w:t>942,020</w:t>
            </w:r>
            <w:r>
              <w:rPr>
                <w:rFonts w:ascii="Arial" w:cs="Arial" w:eastAsia="Arial" w:hAnsi="Arial"/>
                <w:sz w:val="19"/>
                <w:szCs w:val="19"/>
                <w:b w:val="1"/>
                <w:bCs w:val="1"/>
                <w:color w:val="auto"/>
                <w:vertAlign w:val="superscript"/>
              </w:rPr>
              <w:t>(13)</w:t>
            </w:r>
          </w:p>
        </w:tc>
        <w:tc>
          <w:tcPr>
            <w:tcW w:w="420" w:type="dxa"/>
            <w:vAlign w:val="bottom"/>
            <w:tcBorders>
              <w:top w:val="single" w:sz="8" w:color="auto"/>
              <w:bottom w:val="single" w:sz="8" w:color="479EFF"/>
            </w:tcBorders>
          </w:tcPr>
          <w:p>
            <w:pPr>
              <w:jc w:val="right"/>
              <w:ind w:right="38"/>
              <w:spacing w:after="0"/>
              <w:rPr>
                <w:sz w:val="20"/>
                <w:szCs w:val="20"/>
                <w:color w:val="auto"/>
              </w:rPr>
            </w:pPr>
            <w:r>
              <w:rPr>
                <w:rFonts w:ascii="Arial" w:cs="Arial" w:eastAsia="Arial" w:hAnsi="Arial"/>
                <w:sz w:val="13"/>
                <w:szCs w:val="13"/>
                <w:b w:val="1"/>
                <w:bCs w:val="1"/>
                <w:color w:val="auto"/>
              </w:rPr>
              <w:t>2.81</w:t>
            </w:r>
          </w:p>
        </w:tc>
        <w:tc>
          <w:tcPr>
            <w:tcW w:w="1300" w:type="dxa"/>
            <w:vAlign w:val="bottom"/>
            <w:tcBorders>
              <w:top w:val="single" w:sz="8" w:color="auto"/>
              <w:bottom w:val="single" w:sz="8" w:color="479EFF"/>
            </w:tcBorders>
          </w:tcPr>
          <w:p>
            <w:pPr>
              <w:spacing w:after="0"/>
              <w:rPr>
                <w:sz w:val="15"/>
                <w:szCs w:val="15"/>
                <w:color w:val="auto"/>
              </w:rPr>
            </w:pPr>
          </w:p>
        </w:tc>
        <w:tc>
          <w:tcPr>
            <w:tcW w:w="540" w:type="dxa"/>
            <w:vAlign w:val="bottom"/>
            <w:tcBorders>
              <w:top w:val="single" w:sz="8" w:color="auto"/>
              <w:bottom w:val="single" w:sz="8" w:color="479EFF"/>
            </w:tcBorders>
          </w:tcPr>
          <w:p>
            <w:pPr>
              <w:spacing w:after="0"/>
              <w:rPr>
                <w:sz w:val="15"/>
                <w:szCs w:val="15"/>
                <w:color w:val="auto"/>
              </w:rPr>
            </w:pPr>
          </w:p>
        </w:tc>
        <w:tc>
          <w:tcPr>
            <w:tcW w:w="1300" w:type="dxa"/>
            <w:vAlign w:val="bottom"/>
          </w:tcPr>
          <w:p>
            <w:pPr>
              <w:spacing w:after="0"/>
              <w:rPr>
                <w:sz w:val="15"/>
                <w:szCs w:val="15"/>
                <w:color w:val="auto"/>
              </w:rPr>
            </w:pPr>
          </w:p>
        </w:tc>
      </w:tr>
    </w:tbl>
    <w:p>
      <w:pPr>
        <w:spacing w:after="0" w:line="159" w:lineRule="exact"/>
        <w:rPr>
          <w:sz w:val="20"/>
          <w:szCs w:val="20"/>
          <w:color w:val="auto"/>
        </w:rPr>
      </w:pPr>
    </w:p>
    <w:p>
      <w:pPr>
        <w:ind w:left="2"/>
        <w:spacing w:after="0"/>
        <w:rPr>
          <w:sz w:val="20"/>
          <w:szCs w:val="20"/>
          <w:color w:val="auto"/>
        </w:rPr>
      </w:pPr>
      <w:r>
        <w:rPr>
          <w:rFonts w:ascii="Arial" w:cs="Arial" w:eastAsia="Arial" w:hAnsi="Arial"/>
          <w:sz w:val="10"/>
          <w:szCs w:val="10"/>
          <w:color w:val="auto"/>
        </w:rPr>
        <w:t>* Less than 1%.</w:t>
      </w:r>
    </w:p>
    <w:p>
      <w:pPr>
        <w:spacing w:after="0" w:line="157" w:lineRule="exact"/>
        <w:rPr>
          <w:sz w:val="20"/>
          <w:szCs w:val="20"/>
          <w:color w:val="auto"/>
        </w:rPr>
      </w:pPr>
    </w:p>
    <w:p>
      <w:pPr>
        <w:ind w:left="162" w:hanging="162"/>
        <w:spacing w:after="0"/>
        <w:tabs>
          <w:tab w:leader="none" w:pos="162" w:val="left"/>
        </w:tabs>
        <w:numPr>
          <w:ilvl w:val="0"/>
          <w:numId w:val="93"/>
        </w:numPr>
        <w:rPr>
          <w:rFonts w:ascii="Arial" w:cs="Arial" w:eastAsia="Arial" w:hAnsi="Arial"/>
          <w:sz w:val="10"/>
          <w:szCs w:val="10"/>
          <w:color w:val="auto"/>
        </w:rPr>
      </w:pPr>
      <w:r>
        <w:rPr>
          <w:rFonts w:ascii="Arial" w:cs="Arial" w:eastAsia="Arial" w:hAnsi="Arial"/>
          <w:sz w:val="10"/>
          <w:szCs w:val="10"/>
          <w:color w:val="auto"/>
        </w:rPr>
        <w:t>Unless otherwise noted, the business address of each beneficial owner is c/o ExlService Holdings, Inc., 320 Park Avenue, 29th Floor, New York, New York 10022.</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93"/>
        </w:numPr>
        <w:rPr>
          <w:rFonts w:ascii="Arial" w:cs="Arial" w:eastAsia="Arial" w:hAnsi="Arial"/>
          <w:sz w:val="10"/>
          <w:szCs w:val="10"/>
          <w:color w:val="auto"/>
        </w:rPr>
      </w:pPr>
      <w:r>
        <w:rPr>
          <w:rFonts w:ascii="Arial" w:cs="Arial" w:eastAsia="Arial" w:hAnsi="Arial"/>
          <w:sz w:val="10"/>
          <w:szCs w:val="10"/>
          <w:color w:val="auto"/>
        </w:rPr>
        <w:t>Based on 33,526,889 shares outstanding as of the Determination Date.</w:t>
      </w:r>
    </w:p>
    <w:p>
      <w:pPr>
        <w:spacing w:after="0" w:line="157" w:lineRule="exact"/>
        <w:rPr>
          <w:rFonts w:ascii="Arial" w:cs="Arial" w:eastAsia="Arial" w:hAnsi="Arial"/>
          <w:sz w:val="10"/>
          <w:szCs w:val="10"/>
          <w:color w:val="auto"/>
        </w:rPr>
      </w:pPr>
    </w:p>
    <w:p>
      <w:pPr>
        <w:ind w:left="2" w:right="100" w:hanging="2"/>
        <w:spacing w:after="0" w:line="249" w:lineRule="auto"/>
        <w:tabs>
          <w:tab w:leader="none" w:pos="158" w:val="left"/>
        </w:tabs>
        <w:numPr>
          <w:ilvl w:val="0"/>
          <w:numId w:val="93"/>
        </w:numPr>
        <w:rPr>
          <w:rFonts w:ascii="Arial" w:cs="Arial" w:eastAsia="Arial" w:hAnsi="Arial"/>
          <w:sz w:val="10"/>
          <w:szCs w:val="10"/>
          <w:color w:val="auto"/>
        </w:rPr>
      </w:pPr>
      <w:r>
        <w:rPr>
          <w:rFonts w:ascii="Arial" w:cs="Arial" w:eastAsia="Arial" w:hAnsi="Arial"/>
          <w:sz w:val="10"/>
          <w:szCs w:val="10"/>
          <w:color w:val="auto"/>
        </w:rPr>
        <w:t>For non-management directors, this column includes restricted stock units (previously granted for service on the Board) that have vested but are unsettled. Because vested restricted stock units generally settle 180 days following the director's term of service (see "Director Compensation for Fiscal Year 2020" for additional details on settlement), the units are not treated as beneficially owned under SEC rules because the holder does not have the right to acquire the underlying stock within 60 days of the Determination Date. However, restricted stock units that are vested but unsettled provide a meaningful alignment with the Company's stockholders, and they count towards our stock ownership policy for non-employee directors, which requires directors to maintain stock ownership of at least five times their respective annual retainers.</w:t>
      </w:r>
    </w:p>
    <w:p>
      <w:pPr>
        <w:spacing w:after="0" w:line="145" w:lineRule="exact"/>
        <w:rPr>
          <w:rFonts w:ascii="Arial" w:cs="Arial" w:eastAsia="Arial" w:hAnsi="Arial"/>
          <w:sz w:val="10"/>
          <w:szCs w:val="10"/>
          <w:color w:val="auto"/>
        </w:rPr>
      </w:pPr>
    </w:p>
    <w:p>
      <w:pPr>
        <w:ind w:left="2" w:right="40" w:hanging="2"/>
        <w:spacing w:after="0" w:line="262" w:lineRule="auto"/>
        <w:tabs>
          <w:tab w:leader="none" w:pos="158" w:val="left"/>
        </w:tabs>
        <w:numPr>
          <w:ilvl w:val="0"/>
          <w:numId w:val="93"/>
        </w:numPr>
        <w:rPr>
          <w:rFonts w:ascii="Arial" w:cs="Arial" w:eastAsia="Arial" w:hAnsi="Arial"/>
          <w:sz w:val="10"/>
          <w:szCs w:val="10"/>
          <w:color w:val="auto"/>
        </w:rPr>
      </w:pPr>
      <w:r>
        <w:rPr>
          <w:rFonts w:ascii="Arial" w:cs="Arial" w:eastAsia="Arial" w:hAnsi="Arial"/>
          <w:sz w:val="10"/>
          <w:szCs w:val="10"/>
          <w:color w:val="auto"/>
        </w:rPr>
        <w:t>Based on the Schedule 13G/A filed on February 26, 2021, BlackRock, Inc. had sole voting power with respect to 4,981,727 shares and sole dispositive power with respect to 5,022,856 shares. The business address of Blackrock, Inc. is 55 East 52nd Street, New York, New York 10022.</w:t>
      </w:r>
    </w:p>
    <w:p>
      <w:pPr>
        <w:spacing w:after="0" w:line="137" w:lineRule="exact"/>
        <w:rPr>
          <w:rFonts w:ascii="Arial" w:cs="Arial" w:eastAsia="Arial" w:hAnsi="Arial"/>
          <w:sz w:val="10"/>
          <w:szCs w:val="10"/>
          <w:color w:val="auto"/>
        </w:rPr>
      </w:pPr>
    </w:p>
    <w:p>
      <w:pPr>
        <w:ind w:left="2" w:right="260" w:hanging="2"/>
        <w:spacing w:after="0" w:line="262" w:lineRule="auto"/>
        <w:tabs>
          <w:tab w:leader="none" w:pos="158" w:val="left"/>
        </w:tabs>
        <w:numPr>
          <w:ilvl w:val="0"/>
          <w:numId w:val="93"/>
        </w:numPr>
        <w:rPr>
          <w:rFonts w:ascii="Arial" w:cs="Arial" w:eastAsia="Arial" w:hAnsi="Arial"/>
          <w:sz w:val="10"/>
          <w:szCs w:val="10"/>
          <w:color w:val="auto"/>
        </w:rPr>
      </w:pPr>
      <w:r>
        <w:rPr>
          <w:rFonts w:ascii="Arial" w:cs="Arial" w:eastAsia="Arial" w:hAnsi="Arial"/>
          <w:sz w:val="10"/>
          <w:szCs w:val="10"/>
          <w:color w:val="auto"/>
        </w:rPr>
        <w:t>Based on the Schedule 13G/A filed on February 10, 2021, Vanguard Group, Inc. had shared voting power with respect to 76,177 shares, sole dispositive power with respect to 3,386,871 shares and shared dispositive power with respect to 103,180 shares. The business address of Vanguard Group, Inc. is 100 Vanguard Boulevard, Malvern, PA 19355.</w:t>
      </w:r>
    </w:p>
    <w:p>
      <w:pPr>
        <w:spacing w:after="0" w:line="137" w:lineRule="exact"/>
        <w:rPr>
          <w:rFonts w:ascii="Arial" w:cs="Arial" w:eastAsia="Arial" w:hAnsi="Arial"/>
          <w:sz w:val="10"/>
          <w:szCs w:val="10"/>
          <w:color w:val="auto"/>
        </w:rPr>
      </w:pPr>
    </w:p>
    <w:p>
      <w:pPr>
        <w:ind w:left="2" w:right="100" w:hanging="2"/>
        <w:spacing w:after="0" w:line="262" w:lineRule="auto"/>
        <w:tabs>
          <w:tab w:leader="none" w:pos="158" w:val="left"/>
        </w:tabs>
        <w:numPr>
          <w:ilvl w:val="0"/>
          <w:numId w:val="93"/>
        </w:numPr>
        <w:rPr>
          <w:rFonts w:ascii="Arial" w:cs="Arial" w:eastAsia="Arial" w:hAnsi="Arial"/>
          <w:sz w:val="10"/>
          <w:szCs w:val="10"/>
          <w:color w:val="auto"/>
        </w:rPr>
      </w:pPr>
      <w:r>
        <w:rPr>
          <w:rFonts w:ascii="Arial" w:cs="Arial" w:eastAsia="Arial" w:hAnsi="Arial"/>
          <w:sz w:val="10"/>
          <w:szCs w:val="10"/>
          <w:color w:val="auto"/>
        </w:rPr>
        <w:t>Based on the Schedule 13G/A filed on February 8, 2021, FMR LLC had sole voting power with respect to 551,810 shares and sole dispositive power with respect to 2,736,294 shares. The business address of FMR LLC is 245 Summer Street, Boston, Massachusetts 02210.</w:t>
      </w:r>
    </w:p>
    <w:p>
      <w:pPr>
        <w:spacing w:after="0" w:line="137" w:lineRule="exact"/>
        <w:rPr>
          <w:rFonts w:ascii="Arial" w:cs="Arial" w:eastAsia="Arial" w:hAnsi="Arial"/>
          <w:sz w:val="10"/>
          <w:szCs w:val="10"/>
          <w:color w:val="auto"/>
        </w:rPr>
      </w:pPr>
    </w:p>
    <w:p>
      <w:pPr>
        <w:ind w:left="2" w:right="100" w:hanging="2"/>
        <w:spacing w:after="0" w:line="262" w:lineRule="auto"/>
        <w:tabs>
          <w:tab w:leader="none" w:pos="158" w:val="left"/>
        </w:tabs>
        <w:numPr>
          <w:ilvl w:val="0"/>
          <w:numId w:val="93"/>
        </w:numPr>
        <w:rPr>
          <w:rFonts w:ascii="Arial" w:cs="Arial" w:eastAsia="Arial" w:hAnsi="Arial"/>
          <w:sz w:val="10"/>
          <w:szCs w:val="10"/>
          <w:color w:val="auto"/>
        </w:rPr>
      </w:pPr>
      <w:r>
        <w:rPr>
          <w:rFonts w:ascii="Arial" w:cs="Arial" w:eastAsia="Arial" w:hAnsi="Arial"/>
          <w:sz w:val="10"/>
          <w:szCs w:val="10"/>
          <w:color w:val="auto"/>
        </w:rPr>
        <w:t>Based on the Schedule 13G/A filed on February 4, 2021, Wellington Management Group LLP had shared voting power with respect to 1,590,523 shares and shared dispositive power with respect to 1,873,175 shares. The business address of Wellington Management Group LLP is c/o Wellington Management Company LLP, 280 Congress Street, Boston, MA 02210.</w:t>
      </w:r>
    </w:p>
    <w:p>
      <w:pPr>
        <w:spacing w:after="0" w:line="137" w:lineRule="exact"/>
        <w:rPr>
          <w:rFonts w:ascii="Arial" w:cs="Arial" w:eastAsia="Arial" w:hAnsi="Arial"/>
          <w:sz w:val="10"/>
          <w:szCs w:val="10"/>
          <w:color w:val="auto"/>
        </w:rPr>
      </w:pPr>
    </w:p>
    <w:p>
      <w:pPr>
        <w:ind w:left="2" w:right="80" w:hanging="2"/>
        <w:spacing w:after="0" w:line="243" w:lineRule="auto"/>
        <w:tabs>
          <w:tab w:leader="none" w:pos="158" w:val="left"/>
        </w:tabs>
        <w:numPr>
          <w:ilvl w:val="0"/>
          <w:numId w:val="93"/>
        </w:numPr>
        <w:rPr>
          <w:rFonts w:ascii="Arial" w:cs="Arial" w:eastAsia="Arial" w:hAnsi="Arial"/>
          <w:sz w:val="10"/>
          <w:szCs w:val="10"/>
          <w:color w:val="auto"/>
        </w:rPr>
      </w:pPr>
      <w:r>
        <w:rPr>
          <w:rFonts w:ascii="Arial" w:cs="Arial" w:eastAsia="Arial" w:hAnsi="Arial"/>
          <w:sz w:val="10"/>
          <w:szCs w:val="10"/>
          <w:color w:val="auto"/>
        </w:rPr>
        <w:t>The amount includes: (a) 177,134 shares of our common stock owned indirectly by Mr. Kapoor through a family trust created in 2016 under a 2005 grantor-retained annuity trust, for which Mr. Kapoor's spouse and Mr. Kapoor's brother are the co-trustees and share dispositive and voting control over the shares in the trust, (b) 40,219 shares of our common stock owned indirectly by Mr. Kapoor through a family trust created in 2016 under a 2013 grantor retained annuity trust, for which Mr. Kapoor's spouse and Mr. Kapoor's brother are the co-trustees and share dispositive and voting control over the shares in the trust, (c) 84,000 shares of our common stock owned indirectly by Mr. Kapoor through a spousal lifetime access trust, for which Mr. Kapoor's spouse and Mr. Kapoor's brother are the co-trustees and share dispositive and voting control over the shares in the trust, (d) 84,000 shares of our common stock owned indirectly by Mr. Kapoor through a spousal lifetime access trust for Mr. Kapoor's spouse, for which Mr. Kapoor and Mr. Kapoor's brother are the co-trustees and share dispositive and voting control over the shares in the trust, and (e) 158,185 shares of our common stock owned indirectly by</w:t>
      </w:r>
    </w:p>
    <w:p>
      <w:pPr>
        <w:spacing w:after="0" w:line="1" w:lineRule="exact"/>
        <w:rPr>
          <w:rFonts w:ascii="Arial" w:cs="Arial" w:eastAsia="Arial" w:hAnsi="Arial"/>
          <w:sz w:val="10"/>
          <w:szCs w:val="10"/>
          <w:color w:val="auto"/>
        </w:rPr>
      </w:pPr>
    </w:p>
    <w:p>
      <w:pPr>
        <w:ind w:left="2"/>
        <w:spacing w:after="0"/>
        <w:rPr>
          <w:rFonts w:ascii="Arial" w:cs="Arial" w:eastAsia="Arial" w:hAnsi="Arial"/>
          <w:sz w:val="10"/>
          <w:szCs w:val="10"/>
          <w:color w:val="auto"/>
        </w:rPr>
      </w:pPr>
      <w:r>
        <w:rPr>
          <w:rFonts w:ascii="Arial" w:cs="Arial" w:eastAsia="Arial" w:hAnsi="Arial"/>
          <w:sz w:val="10"/>
          <w:szCs w:val="10"/>
          <w:color w:val="auto"/>
        </w:rPr>
        <w:t>Mr. Kapoor through a family trust created in 2016 for which Mr. Kapoor is the investment advisor to Commonwealth Trust Company, the trustee.</w:t>
      </w:r>
    </w:p>
    <w:p>
      <w:pPr>
        <w:spacing w:after="0" w:line="157" w:lineRule="exact"/>
        <w:rPr>
          <w:rFonts w:ascii="Arial" w:cs="Arial" w:eastAsia="Arial" w:hAnsi="Arial"/>
          <w:sz w:val="10"/>
          <w:szCs w:val="10"/>
          <w:color w:val="auto"/>
        </w:rPr>
      </w:pPr>
    </w:p>
    <w:p>
      <w:pPr>
        <w:ind w:left="162" w:hanging="162"/>
        <w:spacing w:after="0"/>
        <w:tabs>
          <w:tab w:leader="none" w:pos="162" w:val="left"/>
        </w:tabs>
        <w:numPr>
          <w:ilvl w:val="0"/>
          <w:numId w:val="93"/>
        </w:numPr>
        <w:rPr>
          <w:rFonts w:ascii="Arial" w:cs="Arial" w:eastAsia="Arial" w:hAnsi="Arial"/>
          <w:sz w:val="10"/>
          <w:szCs w:val="10"/>
          <w:color w:val="auto"/>
        </w:rPr>
      </w:pPr>
      <w:r>
        <w:rPr>
          <w:rFonts w:ascii="Arial" w:cs="Arial" w:eastAsia="Arial" w:hAnsi="Arial"/>
          <w:sz w:val="10"/>
          <w:szCs w:val="10"/>
          <w:color w:val="auto"/>
        </w:rPr>
        <w:t>This amount consists of 21,156 shares of our common stock of which Mr. Kelso has the right to acquire beneficial ownership within 60 days of the Determination Date pursuant to currently vested and exercisable stock options.</w:t>
      </w:r>
    </w:p>
    <w:p>
      <w:pPr>
        <w:spacing w:after="0" w:line="157" w:lineRule="exact"/>
        <w:rPr>
          <w:rFonts w:ascii="Arial" w:cs="Arial" w:eastAsia="Arial" w:hAnsi="Arial"/>
          <w:sz w:val="10"/>
          <w:szCs w:val="10"/>
          <w:color w:val="auto"/>
        </w:rPr>
      </w:pPr>
    </w:p>
    <w:p>
      <w:pPr>
        <w:ind w:left="222" w:hanging="222"/>
        <w:spacing w:after="0"/>
        <w:tabs>
          <w:tab w:leader="none" w:pos="222" w:val="left"/>
        </w:tabs>
        <w:numPr>
          <w:ilvl w:val="0"/>
          <w:numId w:val="93"/>
        </w:numPr>
        <w:rPr>
          <w:rFonts w:ascii="Arial" w:cs="Arial" w:eastAsia="Arial" w:hAnsi="Arial"/>
          <w:sz w:val="10"/>
          <w:szCs w:val="10"/>
          <w:color w:val="auto"/>
        </w:rPr>
      </w:pPr>
      <w:r>
        <w:rPr>
          <w:rFonts w:ascii="Arial" w:cs="Arial" w:eastAsia="Arial" w:hAnsi="Arial"/>
          <w:sz w:val="10"/>
          <w:szCs w:val="10"/>
          <w:color w:val="auto"/>
        </w:rPr>
        <w:t>This amount consists of 3,093 shares of our common stock of which Ms. Minto has the right to acquire beneficial ownership within 60 days of the Determination Date pursuant to currently vested and exercisable stock options.</w:t>
      </w:r>
    </w:p>
    <w:p>
      <w:pPr>
        <w:spacing w:after="0" w:line="157" w:lineRule="exact"/>
        <w:rPr>
          <w:rFonts w:ascii="Arial" w:cs="Arial" w:eastAsia="Arial" w:hAnsi="Arial"/>
          <w:sz w:val="10"/>
          <w:szCs w:val="10"/>
          <w:color w:val="auto"/>
        </w:rPr>
      </w:pPr>
    </w:p>
    <w:p>
      <w:pPr>
        <w:ind w:left="2" w:right="280" w:hanging="2"/>
        <w:spacing w:after="0" w:line="262" w:lineRule="auto"/>
        <w:tabs>
          <w:tab w:leader="none" w:pos="215" w:val="left"/>
        </w:tabs>
        <w:numPr>
          <w:ilvl w:val="0"/>
          <w:numId w:val="93"/>
        </w:numPr>
        <w:rPr>
          <w:rFonts w:ascii="Arial" w:cs="Arial" w:eastAsia="Arial" w:hAnsi="Arial"/>
          <w:sz w:val="10"/>
          <w:szCs w:val="10"/>
          <w:color w:val="auto"/>
        </w:rPr>
      </w:pPr>
      <w:r>
        <w:rPr>
          <w:rFonts w:ascii="Arial" w:cs="Arial" w:eastAsia="Arial" w:hAnsi="Arial"/>
          <w:sz w:val="10"/>
          <w:szCs w:val="10"/>
          <w:color w:val="auto"/>
        </w:rPr>
        <w:t>This amount includes 1,854 shares of our common stock owned indirectly by Mr. Staglin through an irrevocable family trust created in 2018, for which Mr. Staglin's spouse is the sole beneficiary and trustee with sole dispositive and voting control over the shares in the trust.</w:t>
      </w:r>
    </w:p>
    <w:p>
      <w:pPr>
        <w:spacing w:after="0" w:line="137" w:lineRule="exact"/>
        <w:rPr>
          <w:rFonts w:ascii="Arial" w:cs="Arial" w:eastAsia="Arial" w:hAnsi="Arial"/>
          <w:sz w:val="10"/>
          <w:szCs w:val="10"/>
          <w:color w:val="auto"/>
        </w:rPr>
      </w:pPr>
    </w:p>
    <w:p>
      <w:pPr>
        <w:ind w:left="222" w:hanging="222"/>
        <w:spacing w:after="0"/>
        <w:tabs>
          <w:tab w:leader="none" w:pos="222" w:val="left"/>
        </w:tabs>
        <w:numPr>
          <w:ilvl w:val="0"/>
          <w:numId w:val="93"/>
        </w:numPr>
        <w:rPr>
          <w:rFonts w:ascii="Arial" w:cs="Arial" w:eastAsia="Arial" w:hAnsi="Arial"/>
          <w:sz w:val="10"/>
          <w:szCs w:val="10"/>
          <w:color w:val="auto"/>
        </w:rPr>
      </w:pPr>
      <w:r>
        <w:rPr>
          <w:rFonts w:ascii="Arial" w:cs="Arial" w:eastAsia="Arial" w:hAnsi="Arial"/>
          <w:sz w:val="10"/>
          <w:szCs w:val="10"/>
          <w:color w:val="auto"/>
        </w:rPr>
        <w:t>Includes all 10 current non-employee directors and our eight current executive officers.</w:t>
      </w:r>
    </w:p>
    <w:p>
      <w:pPr>
        <w:spacing w:after="0" w:line="157" w:lineRule="exact"/>
        <w:rPr>
          <w:rFonts w:ascii="Arial" w:cs="Arial" w:eastAsia="Arial" w:hAnsi="Arial"/>
          <w:sz w:val="10"/>
          <w:szCs w:val="10"/>
          <w:color w:val="auto"/>
        </w:rPr>
      </w:pPr>
    </w:p>
    <w:p>
      <w:pPr>
        <w:ind w:left="2" w:right="380" w:hanging="2"/>
        <w:spacing w:after="0" w:line="262" w:lineRule="auto"/>
        <w:tabs>
          <w:tab w:leader="none" w:pos="215" w:val="left"/>
        </w:tabs>
        <w:numPr>
          <w:ilvl w:val="0"/>
          <w:numId w:val="93"/>
        </w:numPr>
        <w:rPr>
          <w:rFonts w:ascii="Arial" w:cs="Arial" w:eastAsia="Arial" w:hAnsi="Arial"/>
          <w:sz w:val="10"/>
          <w:szCs w:val="10"/>
          <w:color w:val="auto"/>
        </w:rPr>
      </w:pPr>
      <w:r>
        <w:rPr>
          <w:rFonts w:ascii="Arial" w:cs="Arial" w:eastAsia="Arial" w:hAnsi="Arial"/>
          <w:sz w:val="10"/>
          <w:szCs w:val="10"/>
          <w:color w:val="auto"/>
        </w:rPr>
        <w:t>This amount includes an aggregate of 28,249 shares of our common stock of which our current directors and current executive officers have the right to acquire beneficial ownership within 60 days of the Determination Date pursuant to currently vested and exercisable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5762625</wp:posOffset>
            </wp:positionH>
            <wp:positionV relativeFrom="paragraph">
              <wp:posOffset>184150</wp:posOffset>
            </wp:positionV>
            <wp:extent cx="1408430" cy="3333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802"/>
        <w:spacing w:after="0"/>
        <w:rPr>
          <w:sz w:val="20"/>
          <w:szCs w:val="20"/>
          <w:color w:val="auto"/>
        </w:rPr>
      </w:pPr>
      <w:r>
        <w:rPr>
          <w:rFonts w:ascii="Arial" w:cs="Arial" w:eastAsia="Arial" w:hAnsi="Arial"/>
          <w:sz w:val="13"/>
          <w:szCs w:val="13"/>
          <w:color w:val="FFFFFE"/>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177405" cy="19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2"/>
          </w:cols>
          <w:pgMar w:left="298" w:top="142" w:right="299" w:bottom="1440" w:gutter="0" w:footer="0" w:header="0"/>
        </w:sectPr>
      </w:pPr>
    </w:p>
    <w:bookmarkStart w:id="108" w:name="page109"/>
    <w:bookmarkEnd w:id="10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CERTAIN RELATIONSHIPS AND RELATED PERSON TRANSACTIONS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CERTAIN RELATIONSHIPS AND RELATED PERSON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Review and Approval of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5130800</wp:posOffset>
            </wp:positionH>
            <wp:positionV relativeFrom="paragraph">
              <wp:posOffset>-85725</wp:posOffset>
            </wp:positionV>
            <wp:extent cx="2038350" cy="19081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038350" cy="190817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We review all relationships and transactions in which we, our directors and executive officers or their immediate family members and our 5%</w:t>
      </w:r>
    </w:p>
    <w:p>
      <w:pPr>
        <w:spacing w:after="0" w:line="234" w:lineRule="auto"/>
        <w:rPr>
          <w:sz w:val="20"/>
          <w:szCs w:val="20"/>
          <w:color w:val="auto"/>
        </w:rPr>
      </w:pPr>
      <w:r>
        <w:rPr>
          <w:rFonts w:ascii="Arial" w:cs="Arial" w:eastAsia="Arial" w:hAnsi="Arial"/>
          <w:sz w:val="13"/>
          <w:szCs w:val="13"/>
          <w:color w:val="auto"/>
        </w:rPr>
        <w:t>stockholders are participants to determine whether such persons have a direct or indirect material interest in such transactions. Our Code of</w:t>
      </w:r>
    </w:p>
    <w:p>
      <w:pPr>
        <w:spacing w:after="0" w:line="234" w:lineRule="auto"/>
        <w:rPr>
          <w:sz w:val="20"/>
          <w:szCs w:val="20"/>
          <w:color w:val="auto"/>
        </w:rPr>
      </w:pPr>
      <w:r>
        <w:rPr>
          <w:rFonts w:ascii="Arial" w:cs="Arial" w:eastAsia="Arial" w:hAnsi="Arial"/>
          <w:sz w:val="13"/>
          <w:szCs w:val="13"/>
          <w:color w:val="auto"/>
        </w:rPr>
        <w:t>Conduct and Ethics instructs our directors, officers and employees to report the facts and circumstances of any such transaction or potential</w:t>
      </w:r>
    </w:p>
    <w:p>
      <w:pPr>
        <w:spacing w:after="0" w:line="234" w:lineRule="auto"/>
        <w:rPr>
          <w:sz w:val="20"/>
          <w:szCs w:val="20"/>
          <w:color w:val="auto"/>
        </w:rPr>
      </w:pPr>
      <w:r>
        <w:rPr>
          <w:rFonts w:ascii="Arial" w:cs="Arial" w:eastAsia="Arial" w:hAnsi="Arial"/>
          <w:sz w:val="13"/>
          <w:szCs w:val="13"/>
          <w:color w:val="auto"/>
        </w:rPr>
        <w:t>transaction to our General Counsel or our Audit Committee. Our board of directors has adopted a policy regarding the review of potential</w:t>
      </w:r>
    </w:p>
    <w:p>
      <w:pPr>
        <w:spacing w:after="0" w:line="234" w:lineRule="auto"/>
        <w:rPr>
          <w:sz w:val="20"/>
          <w:szCs w:val="20"/>
          <w:color w:val="auto"/>
        </w:rPr>
      </w:pPr>
      <w:r>
        <w:rPr>
          <w:rFonts w:ascii="Arial" w:cs="Arial" w:eastAsia="Arial" w:hAnsi="Arial"/>
          <w:sz w:val="13"/>
          <w:szCs w:val="13"/>
          <w:color w:val="auto"/>
        </w:rPr>
        <w:t>related party transactions. Under this policy, our General Counsel will review the facts and circumstances of any covered transaction. If our</w:t>
      </w:r>
    </w:p>
    <w:p>
      <w:pPr>
        <w:spacing w:after="0" w:line="235" w:lineRule="auto"/>
        <w:rPr>
          <w:sz w:val="20"/>
          <w:szCs w:val="20"/>
          <w:color w:val="auto"/>
        </w:rPr>
      </w:pPr>
      <w:r>
        <w:rPr>
          <w:rFonts w:ascii="Arial" w:cs="Arial" w:eastAsia="Arial" w:hAnsi="Arial"/>
          <w:sz w:val="13"/>
          <w:szCs w:val="13"/>
          <w:color w:val="auto"/>
        </w:rPr>
        <w:t>General Counsel determines that the transaction involves a related party transaction and if the amount involved does not equal or exceed</w:t>
      </w:r>
    </w:p>
    <w:p>
      <w:pPr>
        <w:spacing w:after="0" w:line="234" w:lineRule="auto"/>
        <w:rPr>
          <w:sz w:val="20"/>
          <w:szCs w:val="20"/>
          <w:color w:val="auto"/>
        </w:rPr>
      </w:pPr>
      <w:r>
        <w:rPr>
          <w:rFonts w:ascii="Arial" w:cs="Arial" w:eastAsia="Arial" w:hAnsi="Arial"/>
          <w:sz w:val="13"/>
          <w:szCs w:val="13"/>
          <w:color w:val="auto"/>
        </w:rPr>
        <w:t>$120,000, our General Counsel will approve or disapprove the transaction. If our General Counsel determines that the transaction involves a</w:t>
      </w:r>
    </w:p>
    <w:p>
      <w:pPr>
        <w:spacing w:after="0" w:line="234" w:lineRule="auto"/>
        <w:rPr>
          <w:sz w:val="20"/>
          <w:szCs w:val="20"/>
          <w:color w:val="auto"/>
        </w:rPr>
      </w:pPr>
      <w:r>
        <w:rPr>
          <w:rFonts w:ascii="Arial" w:cs="Arial" w:eastAsia="Arial" w:hAnsi="Arial"/>
          <w:sz w:val="13"/>
          <w:szCs w:val="13"/>
          <w:color w:val="auto"/>
        </w:rPr>
        <w:t>related party transaction and if the amount involved equals or exceeds $120,000, our General Counsel will refer the transaction to our Audit</w:t>
      </w:r>
    </w:p>
    <w:p>
      <w:pPr>
        <w:spacing w:after="0" w:line="234" w:lineRule="auto"/>
        <w:rPr>
          <w:sz w:val="20"/>
          <w:szCs w:val="20"/>
          <w:color w:val="auto"/>
        </w:rPr>
      </w:pPr>
      <w:r>
        <w:rPr>
          <w:rFonts w:ascii="Arial" w:cs="Arial" w:eastAsia="Arial" w:hAnsi="Arial"/>
          <w:sz w:val="13"/>
          <w:szCs w:val="13"/>
          <w:color w:val="auto"/>
        </w:rPr>
        <w:t>Committee for consideration. In the course of reviewing, approving or ratifying a disclosable related party transaction, our General Counsel</w:t>
      </w:r>
    </w:p>
    <w:p>
      <w:pPr>
        <w:spacing w:after="0"/>
        <w:rPr>
          <w:sz w:val="20"/>
          <w:szCs w:val="20"/>
          <w:color w:val="auto"/>
        </w:rPr>
      </w:pPr>
      <w:r>
        <w:rPr>
          <w:rFonts w:ascii="Arial" w:cs="Arial" w:eastAsia="Arial" w:hAnsi="Arial"/>
          <w:sz w:val="13"/>
          <w:szCs w:val="13"/>
          <w:color w:val="auto"/>
        </w:rPr>
        <w:t>and Audit Committee considers all factors it considers appropriate, including but not limited to the factors in the box to the right.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Related Party Transactions</w:t>
      </w:r>
    </w:p>
    <w:p>
      <w:pPr>
        <w:spacing w:after="0" w:line="168" w:lineRule="exact"/>
        <w:rPr>
          <w:sz w:val="20"/>
          <w:szCs w:val="20"/>
          <w:color w:val="auto"/>
        </w:rPr>
      </w:pPr>
    </w:p>
    <w:p>
      <w:pPr>
        <w:ind w:right="3220"/>
        <w:spacing w:after="0" w:line="239" w:lineRule="auto"/>
        <w:rPr>
          <w:sz w:val="20"/>
          <w:szCs w:val="20"/>
          <w:color w:val="auto"/>
        </w:rPr>
      </w:pPr>
      <w:r>
        <w:rPr>
          <w:rFonts w:ascii="Arial" w:cs="Arial" w:eastAsia="Arial" w:hAnsi="Arial"/>
          <w:sz w:val="13"/>
          <w:szCs w:val="13"/>
          <w:color w:val="auto"/>
        </w:rPr>
        <w:t>As required under SEC rules, transactions that are determined to be directly or indirectly material to us or a related person and which involve amounts exceeding $120,000 in the previous fiscal year are disclosed in our proxy statement.</w:t>
      </w:r>
    </w:p>
    <w:p>
      <w:pPr>
        <w:spacing w:after="0" w:line="150" w:lineRule="exact"/>
        <w:rPr>
          <w:sz w:val="20"/>
          <w:szCs w:val="20"/>
          <w:color w:val="auto"/>
        </w:rPr>
      </w:pPr>
    </w:p>
    <w:p>
      <w:pPr>
        <w:ind w:right="3300"/>
        <w:spacing w:after="0" w:line="253" w:lineRule="auto"/>
        <w:rPr>
          <w:sz w:val="20"/>
          <w:szCs w:val="20"/>
          <w:color w:val="auto"/>
        </w:rPr>
      </w:pPr>
      <w:r>
        <w:rPr>
          <w:rFonts w:ascii="Arial" w:cs="Arial" w:eastAsia="Arial" w:hAnsi="Arial"/>
          <w:sz w:val="12"/>
          <w:szCs w:val="12"/>
          <w:color w:val="auto"/>
        </w:rPr>
        <w:t>On October 1, 2018, the Company entered into the Investment Agreement with the Purchaser, an affiliate of The Orogen Group. One of the Company's directors, Vikram Pandit, is the Chairman and Chief Executive Officer of The Orogen Group. Under the terms of the Investment Agreement, the Company issued to the Purchaser $150,000,000 in aggregate principal amount of 3.50% Convertible Senior Notes due October 1, 2024. In addition, we appointed Mr. Pandit, a nominee of the Purchaser, to our board of directors pursuant to the Investment</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Agreement. After considering the facts and circumstances regarding the relationship, our board of directors has determined that the Investment Agreement does not impair Mr. Pandit's independence under applicable Nasdaq standards and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060"/>
          </w:cols>
          <w:pgMar w:left="300" w:top="142" w:right="539" w:bottom="1440" w:gutter="0" w:footer="0" w:header="0"/>
        </w:sectPr>
      </w:pPr>
    </w:p>
    <w:bookmarkStart w:id="109" w:name="page110"/>
    <w:bookmarkEnd w:id="10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AUDIT COMMITTEE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AUDIT COMMITTEE REPORT</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of the board of directors of ExlService Holdings, Inc. assists our board of directors in fulfilling its oversight responsibilities with respect to the following:</w:t>
      </w:r>
    </w:p>
    <w:p>
      <w:pPr>
        <w:spacing w:after="0" w:line="152" w:lineRule="exact"/>
        <w:rPr>
          <w:sz w:val="20"/>
          <w:szCs w:val="20"/>
          <w:color w:val="auto"/>
        </w:rPr>
      </w:pPr>
    </w:p>
    <w:p>
      <w:pPr>
        <w:ind w:left="780" w:right="380" w:hanging="393"/>
        <w:spacing w:after="0" w:line="239" w:lineRule="auto"/>
        <w:tabs>
          <w:tab w:leader="none" w:pos="780" w:val="left"/>
        </w:tabs>
        <w:numPr>
          <w:ilvl w:val="0"/>
          <w:numId w:val="94"/>
        </w:numPr>
        <w:rPr>
          <w:rFonts w:ascii="Arial" w:cs="Arial" w:eastAsia="Arial" w:hAnsi="Arial"/>
          <w:sz w:val="13"/>
          <w:szCs w:val="13"/>
          <w:color w:val="FF4000"/>
        </w:rPr>
      </w:pPr>
      <w:r>
        <w:rPr>
          <w:rFonts w:ascii="Arial" w:cs="Arial" w:eastAsia="Arial" w:hAnsi="Arial"/>
          <w:sz w:val="13"/>
          <w:szCs w:val="13"/>
          <w:color w:val="auto"/>
        </w:rPr>
        <w:t>our accounting and financial reporting processes, including the integrity of the financial statements and other financial information provided by us to our stockholders, the public, stock exchanges and others;</w:t>
      </w:r>
    </w:p>
    <w:p>
      <w:pPr>
        <w:spacing w:after="0" w:line="149" w:lineRule="exact"/>
        <w:rPr>
          <w:rFonts w:ascii="Arial" w:cs="Arial" w:eastAsia="Arial" w:hAnsi="Arial"/>
          <w:sz w:val="13"/>
          <w:szCs w:val="13"/>
          <w:color w:val="FF4000"/>
        </w:rPr>
      </w:pPr>
    </w:p>
    <w:p>
      <w:pPr>
        <w:ind w:left="780" w:hanging="393"/>
        <w:spacing w:after="0"/>
        <w:tabs>
          <w:tab w:leader="none" w:pos="780" w:val="left"/>
        </w:tabs>
        <w:numPr>
          <w:ilvl w:val="0"/>
          <w:numId w:val="94"/>
        </w:numPr>
        <w:rPr>
          <w:rFonts w:ascii="Arial" w:cs="Arial" w:eastAsia="Arial" w:hAnsi="Arial"/>
          <w:sz w:val="13"/>
          <w:szCs w:val="13"/>
          <w:color w:val="FF4000"/>
        </w:rPr>
      </w:pPr>
      <w:r>
        <w:rPr>
          <w:rFonts w:ascii="Arial" w:cs="Arial" w:eastAsia="Arial" w:hAnsi="Arial"/>
          <w:sz w:val="13"/>
          <w:szCs w:val="13"/>
          <w:color w:val="auto"/>
        </w:rPr>
        <w:t>our compliance with legal and regulatory requirements;</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94"/>
        </w:numPr>
        <w:rPr>
          <w:rFonts w:ascii="Arial" w:cs="Arial" w:eastAsia="Arial" w:hAnsi="Arial"/>
          <w:sz w:val="13"/>
          <w:szCs w:val="13"/>
          <w:color w:val="FF4000"/>
        </w:rPr>
      </w:pPr>
      <w:r>
        <w:rPr>
          <w:rFonts w:ascii="Arial" w:cs="Arial" w:eastAsia="Arial" w:hAnsi="Arial"/>
          <w:sz w:val="13"/>
          <w:szCs w:val="13"/>
          <w:color w:val="auto"/>
        </w:rPr>
        <w:t>our registered independent public accounting firm's qualifications and independence;</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94"/>
        </w:numPr>
        <w:rPr>
          <w:rFonts w:ascii="Arial" w:cs="Arial" w:eastAsia="Arial" w:hAnsi="Arial"/>
          <w:sz w:val="13"/>
          <w:szCs w:val="13"/>
          <w:color w:val="FF4000"/>
        </w:rPr>
      </w:pPr>
      <w:r>
        <w:rPr>
          <w:rFonts w:ascii="Arial" w:cs="Arial" w:eastAsia="Arial" w:hAnsi="Arial"/>
          <w:sz w:val="13"/>
          <w:szCs w:val="13"/>
          <w:color w:val="auto"/>
        </w:rPr>
        <w:t>the audit of our financial statements; and</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94"/>
        </w:numPr>
        <w:rPr>
          <w:rFonts w:ascii="Arial" w:cs="Arial" w:eastAsia="Arial" w:hAnsi="Arial"/>
          <w:sz w:val="13"/>
          <w:szCs w:val="13"/>
          <w:color w:val="FF4000"/>
        </w:rPr>
      </w:pPr>
      <w:r>
        <w:rPr>
          <w:rFonts w:ascii="Arial" w:cs="Arial" w:eastAsia="Arial" w:hAnsi="Arial"/>
          <w:sz w:val="13"/>
          <w:szCs w:val="13"/>
          <w:color w:val="auto"/>
        </w:rPr>
        <w:t>the performance of our internal audit function and independent registered public accounting firm.</w:t>
      </w:r>
    </w:p>
    <w:p>
      <w:pPr>
        <w:spacing w:after="0" w:line="152" w:lineRule="exact"/>
        <w:rPr>
          <w:sz w:val="20"/>
          <w:szCs w:val="20"/>
          <w:color w:val="auto"/>
        </w:rPr>
      </w:pPr>
    </w:p>
    <w:p>
      <w:pPr>
        <w:ind w:right="80"/>
        <w:spacing w:after="0" w:line="236" w:lineRule="auto"/>
        <w:rPr>
          <w:sz w:val="20"/>
          <w:szCs w:val="20"/>
          <w:color w:val="auto"/>
        </w:rPr>
      </w:pPr>
      <w:r>
        <w:rPr>
          <w:rFonts w:ascii="Arial" w:cs="Arial" w:eastAsia="Arial" w:hAnsi="Arial"/>
          <w:sz w:val="13"/>
          <w:szCs w:val="13"/>
          <w:color w:val="auto"/>
        </w:rPr>
        <w:t>In connection with these responsibilities, the Audit Committee met with management and Deloitte &amp; Touche LLP to review and discuss the December 31, 2020 audited consolidated financial statements. The Audit Committee also discussed with Deloitte &amp; Touche LLP the matters required to be discussed by the applicable requirements of the Public Company Accounting Oversight Board and the SEC. The Audit Committee also received written disclosures and the letter from Deloitte &amp; Touche LLP required by Rule 3526 of the Public Company Accounting Oversight Board (Communications with Audit Committees Concerning Independence), and the Audit Committee discussed with Deloitte &amp; Touche LLP the firm's independence.</w:t>
      </w:r>
    </w:p>
    <w:p>
      <w:pPr>
        <w:spacing w:after="0" w:line="151"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Based on the review and discussions referred to above, the Audit Committee approved the inclusion of the audited financial statements in the Company's Annual Report on Form 10-K for the fiscal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Audit Committee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Mr. Clyde W. Ostler (Chairman)</w:t>
      </w:r>
    </w:p>
    <w:p>
      <w:pPr>
        <w:ind w:left="380"/>
        <w:spacing w:after="0" w:line="234" w:lineRule="auto"/>
        <w:rPr>
          <w:sz w:val="20"/>
          <w:szCs w:val="20"/>
          <w:color w:val="auto"/>
        </w:rPr>
      </w:pPr>
      <w:r>
        <w:rPr>
          <w:rFonts w:ascii="Arial" w:cs="Arial" w:eastAsia="Arial" w:hAnsi="Arial"/>
          <w:sz w:val="13"/>
          <w:szCs w:val="13"/>
          <w:color w:val="auto"/>
        </w:rPr>
        <w:t>Mr. David B. Kelso</w:t>
      </w:r>
    </w:p>
    <w:p>
      <w:pPr>
        <w:ind w:left="380"/>
        <w:spacing w:after="0" w:line="234" w:lineRule="auto"/>
        <w:rPr>
          <w:sz w:val="20"/>
          <w:szCs w:val="20"/>
          <w:color w:val="auto"/>
        </w:rPr>
      </w:pPr>
      <w:r>
        <w:rPr>
          <w:rFonts w:ascii="Arial" w:cs="Arial" w:eastAsia="Arial" w:hAnsi="Arial"/>
          <w:sz w:val="13"/>
          <w:szCs w:val="13"/>
          <w:color w:val="auto"/>
        </w:rPr>
        <w:t>Mr. Vikram Pandit</w:t>
      </w:r>
    </w:p>
    <w:p>
      <w:pPr>
        <w:ind w:left="380"/>
        <w:spacing w:after="0" w:line="234" w:lineRule="auto"/>
        <w:rPr>
          <w:sz w:val="20"/>
          <w:szCs w:val="20"/>
          <w:color w:val="auto"/>
        </w:rPr>
      </w:pPr>
      <w:r>
        <w:rPr>
          <w:rFonts w:ascii="Arial" w:cs="Arial" w:eastAsia="Arial" w:hAnsi="Arial"/>
          <w:sz w:val="13"/>
          <w:szCs w:val="13"/>
          <w:color w:val="auto"/>
        </w:rPr>
        <w:t>Ms. Kristy Pipes</w:t>
      </w:r>
    </w:p>
    <w:p>
      <w:pPr>
        <w:ind w:left="380"/>
        <w:spacing w:after="0" w:line="234" w:lineRule="auto"/>
        <w:rPr>
          <w:sz w:val="20"/>
          <w:szCs w:val="20"/>
          <w:color w:val="auto"/>
        </w:rPr>
      </w:pPr>
      <w:r>
        <w:rPr>
          <w:rFonts w:ascii="Arial" w:cs="Arial" w:eastAsia="Arial" w:hAnsi="Arial"/>
          <w:sz w:val="13"/>
          <w:szCs w:val="13"/>
          <w:color w:val="auto"/>
        </w:rPr>
        <w:t>Mr. Nitin Sahney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Ms. Jaynie Studenmund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193675</wp:posOffset>
            </wp:positionV>
            <wp:extent cx="1408430" cy="3333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0800"/>
        <w:spacing w:after="0"/>
        <w:rPr>
          <w:sz w:val="20"/>
          <w:szCs w:val="20"/>
          <w:color w:val="auto"/>
        </w:rPr>
      </w:pPr>
      <w:r>
        <w:rPr>
          <w:rFonts w:ascii="Arial" w:cs="Arial" w:eastAsia="Arial" w:hAnsi="Arial"/>
          <w:sz w:val="13"/>
          <w:szCs w:val="13"/>
          <w:color w:val="FFFFFE"/>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10" w:name="page111"/>
    <w:bookmarkEnd w:id="11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PROPOSAL 1 — ELECTION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PROPOSAL 1 — ELECTION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The Nominees</w:t>
      </w:r>
    </w:p>
    <w:p>
      <w:pPr>
        <w:spacing w:after="0" w:line="168" w:lineRule="exact"/>
        <w:rPr>
          <w:sz w:val="20"/>
          <w:szCs w:val="20"/>
          <w:color w:val="auto"/>
        </w:rPr>
      </w:pPr>
    </w:p>
    <w:p>
      <w:pPr>
        <w:ind w:right="240"/>
        <w:spacing w:after="0" w:line="239" w:lineRule="auto"/>
        <w:rPr>
          <w:sz w:val="20"/>
          <w:szCs w:val="20"/>
          <w:color w:val="auto"/>
        </w:rPr>
      </w:pPr>
      <w:r>
        <w:rPr>
          <w:rFonts w:ascii="Arial" w:cs="Arial" w:eastAsia="Arial" w:hAnsi="Arial"/>
          <w:sz w:val="13"/>
          <w:szCs w:val="13"/>
          <w:color w:val="auto"/>
        </w:rPr>
        <w:t>Our Nominating and Governance Committee has nominated, and our board of directors has designated, Mses. Minto, Pipes and Studenmund and Messrs. Kapoor, Mittal, Ostler, Pandit, Sahney and Staglin to stand for election as directors at the Annual Meeting. Two of our current directors, Ms. Kerr and Mr. Kelso, will not be standing for re-election at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Term of Office</w:t>
      </w:r>
    </w:p>
    <w:p>
      <w:pPr>
        <w:spacing w:after="0" w:line="168"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auto"/>
        </w:rPr>
        <w:t>If elected, each of the director nominees will serve a term of one year on our board of directors, until our 2022 Annual Meeting of Stockholders or until their successors are duly elected and qualified in accordance with our by-laws.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Voting Instructions and Substitutes</w:t>
      </w:r>
    </w:p>
    <w:p>
      <w:pPr>
        <w:spacing w:after="0" w:line="168"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The proxies given to the proxy holders will be voted or not voted as directed and, if no direction is given, will be voted FOR these six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General Information about Nominees</w:t>
      </w:r>
    </w:p>
    <w:p>
      <w:pPr>
        <w:spacing w:after="0" w:line="168" w:lineRule="exact"/>
        <w:rPr>
          <w:sz w:val="20"/>
          <w:szCs w:val="20"/>
          <w:color w:val="auto"/>
        </w:rPr>
      </w:pPr>
    </w:p>
    <w:p>
      <w:pPr>
        <w:ind w:right="380"/>
        <w:spacing w:after="0" w:line="239" w:lineRule="auto"/>
        <w:rPr>
          <w:sz w:val="20"/>
          <w:szCs w:val="20"/>
          <w:color w:val="auto"/>
        </w:rPr>
      </w:pPr>
      <w:r>
        <w:rPr>
          <w:rFonts w:ascii="Arial" w:cs="Arial" w:eastAsia="Arial" w:hAnsi="Arial"/>
          <w:sz w:val="13"/>
          <w:szCs w:val="13"/>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60"/>
          </w:cols>
          <w:pgMar w:left="300" w:top="142" w:right="339" w:bottom="1440" w:gutter="0" w:footer="0" w:header="0"/>
        </w:sectPr>
      </w:pPr>
    </w:p>
    <w:bookmarkStart w:id="111" w:name="page112"/>
    <w:bookmarkEnd w:id="11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PROPOSAL 1 — ELECTION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with respect to any solicitation of proxies in connection with the election of directors is found elsewhere in this proxy statement.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479EFF"/>
              </w:rPr>
              <w:t>Director</w:t>
            </w:r>
          </w:p>
        </w:tc>
        <w:tc>
          <w:tcPr>
            <w:tcW w:w="780" w:type="dxa"/>
            <w:vAlign w:val="bottom"/>
          </w:tcPr>
          <w:p>
            <w:pPr>
              <w:spacing w:after="0"/>
              <w:rPr>
                <w:sz w:val="10"/>
                <w:szCs w:val="10"/>
                <w:color w:val="auto"/>
              </w:rPr>
            </w:pPr>
          </w:p>
        </w:tc>
        <w:tc>
          <w:tcPr>
            <w:tcW w:w="7400" w:type="dxa"/>
            <w:vAlign w:val="bottom"/>
          </w:tcPr>
          <w:p>
            <w:pPr>
              <w:spacing w:after="0"/>
              <w:rPr>
                <w:sz w:val="10"/>
                <w:szCs w:val="10"/>
                <w:color w:val="auto"/>
              </w:rPr>
            </w:pPr>
          </w:p>
        </w:tc>
      </w:tr>
      <w:tr>
        <w:trPr>
          <w:trHeight w:val="134"/>
        </w:trPr>
        <w:tc>
          <w:tcPr>
            <w:tcW w:w="1960" w:type="dxa"/>
            <w:vAlign w:val="bottom"/>
            <w:tcBorders>
              <w:bottom w:val="single" w:sz="8" w:color="479EFF"/>
            </w:tcBorders>
            <w:gridSpan w:val="2"/>
          </w:tcPr>
          <w:p>
            <w:pPr>
              <w:spacing w:after="0"/>
              <w:rPr>
                <w:sz w:val="20"/>
                <w:szCs w:val="20"/>
                <w:color w:val="auto"/>
              </w:rPr>
            </w:pPr>
            <w:r>
              <w:rPr>
                <w:rFonts w:ascii="Arial" w:cs="Arial" w:eastAsia="Arial" w:hAnsi="Arial"/>
                <w:sz w:val="10"/>
                <w:szCs w:val="10"/>
                <w:b w:val="1"/>
                <w:bCs w:val="1"/>
                <w:color w:val="479EFF"/>
              </w:rPr>
              <w:t>Name</w:t>
            </w:r>
          </w:p>
        </w:tc>
        <w:tc>
          <w:tcPr>
            <w:tcW w:w="36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479EFF"/>
                <w:w w:val="95"/>
              </w:rPr>
              <w:t>Age</w:t>
            </w:r>
          </w:p>
        </w:tc>
        <w:tc>
          <w:tcPr>
            <w:tcW w:w="80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479EFF"/>
                <w:w w:val="97"/>
              </w:rPr>
              <w:t>Since</w:t>
            </w:r>
          </w:p>
        </w:tc>
        <w:tc>
          <w:tcPr>
            <w:tcW w:w="780" w:type="dxa"/>
            <w:vAlign w:val="bottom"/>
            <w:tcBorders>
              <w:bottom w:val="single" w:sz="8" w:color="479EFF"/>
            </w:tcBorders>
          </w:tcPr>
          <w:p>
            <w:pPr>
              <w:jc w:val="center"/>
              <w:spacing w:after="0"/>
              <w:rPr>
                <w:sz w:val="20"/>
                <w:szCs w:val="20"/>
                <w:color w:val="auto"/>
              </w:rPr>
            </w:pPr>
            <w:r>
              <w:rPr>
                <w:rFonts w:ascii="Arial" w:cs="Arial" w:eastAsia="Arial" w:hAnsi="Arial"/>
                <w:sz w:val="10"/>
                <w:szCs w:val="10"/>
                <w:b w:val="1"/>
                <w:bCs w:val="1"/>
                <w:color w:val="479EFF"/>
              </w:rPr>
              <w:t>Independent</w:t>
            </w:r>
          </w:p>
        </w:tc>
        <w:tc>
          <w:tcPr>
            <w:tcW w:w="7400" w:type="dxa"/>
            <w:vAlign w:val="bottom"/>
            <w:tcBorders>
              <w:bottom w:val="single" w:sz="8" w:color="479EFF"/>
            </w:tcBorders>
          </w:tcPr>
          <w:p>
            <w:pPr>
              <w:ind w:left="3140"/>
              <w:spacing w:after="0"/>
              <w:rPr>
                <w:sz w:val="20"/>
                <w:szCs w:val="20"/>
                <w:color w:val="auto"/>
              </w:rPr>
            </w:pPr>
            <w:r>
              <w:rPr>
                <w:rFonts w:ascii="Arial" w:cs="Arial" w:eastAsia="Arial" w:hAnsi="Arial"/>
                <w:sz w:val="10"/>
                <w:szCs w:val="10"/>
                <w:b w:val="1"/>
                <w:bCs w:val="1"/>
                <w:color w:val="479EFF"/>
              </w:rPr>
              <w:t>Committee Membership</w:t>
            </w:r>
          </w:p>
        </w:tc>
      </w:tr>
      <w:tr>
        <w:trPr>
          <w:trHeight w:val="134"/>
        </w:trPr>
        <w:tc>
          <w:tcPr>
            <w:tcW w:w="1960" w:type="dxa"/>
            <w:vAlign w:val="bottom"/>
            <w:tcBorders>
              <w:right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rPr>
              <w:t>Garen Staglin</w:t>
            </w:r>
          </w:p>
        </w:tc>
        <w:tc>
          <w:tcPr>
            <w:tcW w:w="3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color w:val="auto"/>
                <w:w w:val="96"/>
              </w:rPr>
              <w:t>76</w:t>
            </w:r>
          </w:p>
        </w:tc>
        <w:tc>
          <w:tcPr>
            <w:tcW w:w="80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color w:val="auto"/>
                <w:w w:val="92"/>
              </w:rPr>
              <w:t>June</w:t>
            </w:r>
          </w:p>
        </w:tc>
        <w:tc>
          <w:tcPr>
            <w:tcW w:w="78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color w:val="auto"/>
                <w:w w:val="89"/>
              </w:rPr>
              <w:t>Yes</w:t>
            </w:r>
          </w:p>
        </w:tc>
        <w:tc>
          <w:tcPr>
            <w:tcW w:w="7400" w:type="dxa"/>
            <w:vAlign w:val="bottom"/>
          </w:tcPr>
          <w:p>
            <w:pPr>
              <w:ind w:left="60"/>
              <w:spacing w:after="0" w:line="134" w:lineRule="exact"/>
              <w:rPr>
                <w:sz w:val="20"/>
                <w:szCs w:val="20"/>
                <w:color w:val="auto"/>
              </w:rPr>
            </w:pPr>
            <w:r>
              <w:rPr>
                <w:rFonts w:ascii="Arial" w:cs="Arial" w:eastAsia="Arial" w:hAnsi="Arial"/>
                <w:sz w:val="13"/>
                <w:szCs w:val="13"/>
                <w:color w:val="auto"/>
              </w:rPr>
              <w:t>Compensation; Nominating and Governance</w:t>
            </w:r>
          </w:p>
        </w:tc>
      </w:tr>
      <w:tr>
        <w:trPr>
          <w:trHeight w:val="158"/>
        </w:trPr>
        <w:tc>
          <w:tcPr>
            <w:tcW w:w="1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i w:val="1"/>
                <w:iCs w:val="1"/>
                <w:color w:val="auto"/>
              </w:rPr>
              <w:t>Chairman</w:t>
            </w:r>
          </w:p>
        </w:tc>
        <w:tc>
          <w:tcPr>
            <w:tcW w:w="36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2005</w:t>
            </w:r>
          </w:p>
        </w:tc>
        <w:tc>
          <w:tcPr>
            <w:tcW w:w="780" w:type="dxa"/>
            <w:vAlign w:val="bottom"/>
            <w:tcBorders>
              <w:bottom w:val="single" w:sz="8" w:color="auto"/>
              <w:right w:val="single" w:sz="8" w:color="auto"/>
            </w:tcBorders>
          </w:tcPr>
          <w:p>
            <w:pPr>
              <w:spacing w:after="0"/>
              <w:rPr>
                <w:sz w:val="13"/>
                <w:szCs w:val="13"/>
                <w:color w:val="auto"/>
              </w:rPr>
            </w:pPr>
          </w:p>
        </w:tc>
        <w:tc>
          <w:tcPr>
            <w:tcW w:w="7400" w:type="dxa"/>
            <w:vAlign w:val="bottom"/>
            <w:tcBorders>
              <w:bottom w:val="single" w:sz="8" w:color="auto"/>
            </w:tcBorders>
          </w:tcPr>
          <w:p>
            <w:pPr>
              <w:spacing w:after="0"/>
              <w:rPr>
                <w:sz w:val="13"/>
                <w:szCs w:val="13"/>
                <w:color w:val="auto"/>
              </w:rPr>
            </w:pPr>
          </w:p>
        </w:tc>
      </w:tr>
      <w:tr>
        <w:trPr>
          <w:trHeight w:val="124"/>
        </w:trPr>
        <w:tc>
          <w:tcPr>
            <w:tcW w:w="1960" w:type="dxa"/>
            <w:vAlign w:val="bottom"/>
            <w:tcBorders>
              <w:right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rPr>
              <w:t>Rohit Kapoor</w:t>
            </w:r>
          </w:p>
        </w:tc>
        <w:tc>
          <w:tcPr>
            <w:tcW w:w="3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color w:val="auto"/>
                <w:w w:val="96"/>
              </w:rPr>
              <w:t>56</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color w:val="auto"/>
                <w:w w:val="96"/>
              </w:rPr>
              <w:t>November</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color w:val="auto"/>
                <w:w w:val="96"/>
              </w:rPr>
              <w:t>No</w:t>
            </w:r>
          </w:p>
        </w:tc>
        <w:tc>
          <w:tcPr>
            <w:tcW w:w="7400" w:type="dxa"/>
            <w:vAlign w:val="bottom"/>
          </w:tcPr>
          <w:p>
            <w:pPr>
              <w:ind w:left="60"/>
              <w:spacing w:after="0" w:line="124" w:lineRule="exact"/>
              <w:rPr>
                <w:sz w:val="20"/>
                <w:szCs w:val="20"/>
                <w:color w:val="auto"/>
              </w:rPr>
            </w:pPr>
            <w:r>
              <w:rPr>
                <w:rFonts w:ascii="Arial" w:cs="Arial" w:eastAsia="Arial" w:hAnsi="Arial"/>
                <w:sz w:val="13"/>
                <w:szCs w:val="13"/>
                <w:color w:val="auto"/>
              </w:rPr>
              <w:t>None</w:t>
            </w:r>
          </w:p>
        </w:tc>
      </w:tr>
      <w:tr>
        <w:trPr>
          <w:trHeight w:val="158"/>
        </w:trPr>
        <w:tc>
          <w:tcPr>
            <w:tcW w:w="1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i w:val="1"/>
                <w:iCs w:val="1"/>
                <w:color w:val="auto"/>
              </w:rPr>
              <w:t>Vice Chairman and CEO</w:t>
            </w:r>
          </w:p>
        </w:tc>
        <w:tc>
          <w:tcPr>
            <w:tcW w:w="36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2002</w:t>
            </w:r>
          </w:p>
        </w:tc>
        <w:tc>
          <w:tcPr>
            <w:tcW w:w="780" w:type="dxa"/>
            <w:vAlign w:val="bottom"/>
            <w:tcBorders>
              <w:bottom w:val="single" w:sz="8" w:color="auto"/>
              <w:right w:val="single" w:sz="8" w:color="auto"/>
            </w:tcBorders>
          </w:tcPr>
          <w:p>
            <w:pPr>
              <w:spacing w:after="0"/>
              <w:rPr>
                <w:sz w:val="13"/>
                <w:szCs w:val="13"/>
                <w:color w:val="auto"/>
              </w:rPr>
            </w:pPr>
          </w:p>
        </w:tc>
        <w:tc>
          <w:tcPr>
            <w:tcW w:w="7400" w:type="dxa"/>
            <w:vAlign w:val="bottom"/>
            <w:tcBorders>
              <w:bottom w:val="single" w:sz="8" w:color="auto"/>
            </w:tcBorders>
          </w:tcPr>
          <w:p>
            <w:pPr>
              <w:spacing w:after="0"/>
              <w:rPr>
                <w:sz w:val="13"/>
                <w:szCs w:val="13"/>
                <w:color w:val="auto"/>
              </w:rPr>
            </w:pPr>
          </w:p>
        </w:tc>
      </w:tr>
      <w:tr>
        <w:trPr>
          <w:trHeight w:val="138"/>
        </w:trPr>
        <w:tc>
          <w:tcPr>
            <w:tcW w:w="1960" w:type="dxa"/>
            <w:vAlign w:val="bottom"/>
            <w:tcBorders>
              <w:right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Anne Minto</w:t>
            </w:r>
          </w:p>
        </w:tc>
        <w:tc>
          <w:tcPr>
            <w:tcW w:w="3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67</w:t>
            </w:r>
          </w:p>
        </w:tc>
        <w:tc>
          <w:tcPr>
            <w:tcW w:w="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March</w:t>
            </w:r>
          </w:p>
        </w:tc>
        <w:tc>
          <w:tcPr>
            <w:tcW w:w="7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9"/>
              </w:rPr>
              <w:t>Yes</w:t>
            </w:r>
          </w:p>
        </w:tc>
        <w:tc>
          <w:tcPr>
            <w:tcW w:w="7400" w:type="dxa"/>
            <w:vAlign w:val="bottom"/>
          </w:tcPr>
          <w:p>
            <w:pPr>
              <w:ind w:left="60"/>
              <w:spacing w:after="0" w:line="138" w:lineRule="exact"/>
              <w:rPr>
                <w:sz w:val="20"/>
                <w:szCs w:val="20"/>
                <w:color w:val="auto"/>
              </w:rPr>
            </w:pPr>
            <w:r>
              <w:rPr>
                <w:rFonts w:ascii="Arial" w:cs="Arial" w:eastAsia="Arial" w:hAnsi="Arial"/>
                <w:sz w:val="13"/>
                <w:szCs w:val="13"/>
                <w:color w:val="auto"/>
              </w:rPr>
              <w:t>Compensation; Nominating and Governance</w:t>
            </w:r>
          </w:p>
        </w:tc>
      </w:tr>
      <w:tr>
        <w:trPr>
          <w:trHeight w:val="144"/>
        </w:trPr>
        <w:tc>
          <w:tcPr>
            <w:tcW w:w="20" w:type="dxa"/>
            <w:vAlign w:val="bottom"/>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6"/>
              </w:rPr>
              <w:t>2013</w:t>
            </w:r>
          </w:p>
        </w:tc>
        <w:tc>
          <w:tcPr>
            <w:tcW w:w="780" w:type="dxa"/>
            <w:vAlign w:val="bottom"/>
            <w:tcBorders>
              <w:bottom w:val="single" w:sz="8" w:color="auto"/>
              <w:right w:val="single" w:sz="8" w:color="auto"/>
            </w:tcBorders>
          </w:tcPr>
          <w:p>
            <w:pPr>
              <w:spacing w:after="0"/>
              <w:rPr>
                <w:sz w:val="12"/>
                <w:szCs w:val="12"/>
                <w:color w:val="auto"/>
              </w:rPr>
            </w:pPr>
          </w:p>
        </w:tc>
        <w:tc>
          <w:tcPr>
            <w:tcW w:w="7400" w:type="dxa"/>
            <w:vAlign w:val="bottom"/>
            <w:tcBorders>
              <w:bottom w:val="single" w:sz="8" w:color="auto"/>
            </w:tcBorders>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94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Som Mittal</w:t>
            </w:r>
          </w:p>
        </w:tc>
        <w:tc>
          <w:tcPr>
            <w:tcW w:w="3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69</w:t>
            </w:r>
          </w:p>
        </w:tc>
        <w:tc>
          <w:tcPr>
            <w:tcW w:w="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December</w:t>
            </w:r>
          </w:p>
        </w:tc>
        <w:tc>
          <w:tcPr>
            <w:tcW w:w="7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9"/>
              </w:rPr>
              <w:t>Yes</w:t>
            </w:r>
          </w:p>
        </w:tc>
        <w:tc>
          <w:tcPr>
            <w:tcW w:w="7400" w:type="dxa"/>
            <w:vAlign w:val="bottom"/>
          </w:tcPr>
          <w:p>
            <w:pPr>
              <w:ind w:left="60"/>
              <w:spacing w:after="0" w:line="138" w:lineRule="exact"/>
              <w:rPr>
                <w:sz w:val="20"/>
                <w:szCs w:val="20"/>
                <w:color w:val="auto"/>
              </w:rPr>
            </w:pPr>
            <w:r>
              <w:rPr>
                <w:rFonts w:ascii="Arial" w:cs="Arial" w:eastAsia="Arial" w:hAnsi="Arial"/>
                <w:sz w:val="13"/>
                <w:szCs w:val="13"/>
                <w:color w:val="auto"/>
              </w:rPr>
              <w:t>Compensation; Nominating and Governance</w:t>
            </w:r>
          </w:p>
        </w:tc>
      </w:tr>
      <w:tr>
        <w:trPr>
          <w:trHeight w:val="144"/>
        </w:trPr>
        <w:tc>
          <w:tcPr>
            <w:tcW w:w="20" w:type="dxa"/>
            <w:vAlign w:val="bottom"/>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6"/>
              </w:rPr>
              <w:t>2013</w:t>
            </w:r>
          </w:p>
        </w:tc>
        <w:tc>
          <w:tcPr>
            <w:tcW w:w="780" w:type="dxa"/>
            <w:vAlign w:val="bottom"/>
            <w:tcBorders>
              <w:bottom w:val="single" w:sz="8" w:color="auto"/>
              <w:right w:val="single" w:sz="8" w:color="auto"/>
            </w:tcBorders>
          </w:tcPr>
          <w:p>
            <w:pPr>
              <w:spacing w:after="0"/>
              <w:rPr>
                <w:sz w:val="12"/>
                <w:szCs w:val="12"/>
                <w:color w:val="auto"/>
              </w:rPr>
            </w:pPr>
          </w:p>
        </w:tc>
        <w:tc>
          <w:tcPr>
            <w:tcW w:w="7400" w:type="dxa"/>
            <w:vAlign w:val="bottom"/>
            <w:tcBorders>
              <w:bottom w:val="single" w:sz="8" w:color="auto"/>
            </w:tcBorders>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94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Clyde Ostler</w:t>
            </w:r>
          </w:p>
        </w:tc>
        <w:tc>
          <w:tcPr>
            <w:tcW w:w="3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74</w:t>
            </w:r>
          </w:p>
        </w:tc>
        <w:tc>
          <w:tcPr>
            <w:tcW w:w="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December</w:t>
            </w:r>
          </w:p>
        </w:tc>
        <w:tc>
          <w:tcPr>
            <w:tcW w:w="7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9"/>
              </w:rPr>
              <w:t>Yes</w:t>
            </w:r>
          </w:p>
        </w:tc>
        <w:tc>
          <w:tcPr>
            <w:tcW w:w="7400" w:type="dxa"/>
            <w:vAlign w:val="bottom"/>
          </w:tcPr>
          <w:p>
            <w:pPr>
              <w:ind w:left="60"/>
              <w:spacing w:after="0" w:line="138" w:lineRule="exact"/>
              <w:rPr>
                <w:sz w:val="20"/>
                <w:szCs w:val="20"/>
                <w:color w:val="auto"/>
              </w:rPr>
            </w:pPr>
            <w:r>
              <w:rPr>
                <w:rFonts w:ascii="Arial" w:cs="Arial" w:eastAsia="Arial" w:hAnsi="Arial"/>
                <w:sz w:val="13"/>
                <w:szCs w:val="13"/>
                <w:color w:val="auto"/>
              </w:rPr>
              <w:t>Audit (Chair); Compensation</w:t>
            </w:r>
          </w:p>
        </w:tc>
      </w:tr>
      <w:tr>
        <w:trPr>
          <w:trHeight w:val="144"/>
        </w:trPr>
        <w:tc>
          <w:tcPr>
            <w:tcW w:w="20" w:type="dxa"/>
            <w:vAlign w:val="bottom"/>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6"/>
              </w:rPr>
              <w:t>2007</w:t>
            </w:r>
          </w:p>
        </w:tc>
        <w:tc>
          <w:tcPr>
            <w:tcW w:w="780" w:type="dxa"/>
            <w:vAlign w:val="bottom"/>
            <w:tcBorders>
              <w:bottom w:val="single" w:sz="8" w:color="auto"/>
              <w:right w:val="single" w:sz="8" w:color="auto"/>
            </w:tcBorders>
          </w:tcPr>
          <w:p>
            <w:pPr>
              <w:spacing w:after="0"/>
              <w:rPr>
                <w:sz w:val="12"/>
                <w:szCs w:val="12"/>
                <w:color w:val="auto"/>
              </w:rPr>
            </w:pPr>
          </w:p>
        </w:tc>
        <w:tc>
          <w:tcPr>
            <w:tcW w:w="7400" w:type="dxa"/>
            <w:vAlign w:val="bottom"/>
            <w:tcBorders>
              <w:bottom w:val="single" w:sz="8" w:color="auto"/>
            </w:tcBorders>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94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Vikram Pandit</w:t>
            </w:r>
          </w:p>
        </w:tc>
        <w:tc>
          <w:tcPr>
            <w:tcW w:w="3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64</w:t>
            </w:r>
          </w:p>
        </w:tc>
        <w:tc>
          <w:tcPr>
            <w:tcW w:w="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9"/>
              </w:rPr>
              <w:t>October</w:t>
            </w:r>
          </w:p>
        </w:tc>
        <w:tc>
          <w:tcPr>
            <w:tcW w:w="7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9"/>
              </w:rPr>
              <w:t>Yes</w:t>
            </w:r>
          </w:p>
        </w:tc>
        <w:tc>
          <w:tcPr>
            <w:tcW w:w="7400" w:type="dxa"/>
            <w:vAlign w:val="bottom"/>
          </w:tcPr>
          <w:p>
            <w:pPr>
              <w:ind w:left="60"/>
              <w:spacing w:after="0" w:line="138" w:lineRule="exact"/>
              <w:rPr>
                <w:sz w:val="20"/>
                <w:szCs w:val="20"/>
                <w:color w:val="auto"/>
              </w:rPr>
            </w:pPr>
            <w:r>
              <w:rPr>
                <w:rFonts w:ascii="Arial" w:cs="Arial" w:eastAsia="Arial" w:hAnsi="Arial"/>
                <w:sz w:val="13"/>
                <w:szCs w:val="13"/>
                <w:color w:val="auto"/>
              </w:rPr>
              <w:t>Audit; Nominating and Governance</w:t>
            </w:r>
          </w:p>
        </w:tc>
      </w:tr>
      <w:tr>
        <w:trPr>
          <w:trHeight w:val="144"/>
        </w:trPr>
        <w:tc>
          <w:tcPr>
            <w:tcW w:w="20" w:type="dxa"/>
            <w:vAlign w:val="bottom"/>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6"/>
              </w:rPr>
              <w:t>2018</w:t>
            </w:r>
          </w:p>
        </w:tc>
        <w:tc>
          <w:tcPr>
            <w:tcW w:w="780" w:type="dxa"/>
            <w:vAlign w:val="bottom"/>
            <w:tcBorders>
              <w:bottom w:val="single" w:sz="8" w:color="auto"/>
              <w:right w:val="single" w:sz="8" w:color="auto"/>
            </w:tcBorders>
          </w:tcPr>
          <w:p>
            <w:pPr>
              <w:spacing w:after="0"/>
              <w:rPr>
                <w:sz w:val="12"/>
                <w:szCs w:val="12"/>
                <w:color w:val="auto"/>
              </w:rPr>
            </w:pPr>
          </w:p>
        </w:tc>
        <w:tc>
          <w:tcPr>
            <w:tcW w:w="7400" w:type="dxa"/>
            <w:vAlign w:val="bottom"/>
            <w:tcBorders>
              <w:bottom w:val="single" w:sz="8" w:color="auto"/>
            </w:tcBorders>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94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Kristy Pipes</w:t>
            </w:r>
          </w:p>
        </w:tc>
        <w:tc>
          <w:tcPr>
            <w:tcW w:w="3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61</w:t>
            </w:r>
          </w:p>
        </w:tc>
        <w:tc>
          <w:tcPr>
            <w:tcW w:w="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9"/>
              </w:rPr>
              <w:t>January</w:t>
            </w:r>
          </w:p>
        </w:tc>
        <w:tc>
          <w:tcPr>
            <w:tcW w:w="7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9"/>
              </w:rPr>
              <w:t>Yes</w:t>
            </w:r>
          </w:p>
        </w:tc>
        <w:tc>
          <w:tcPr>
            <w:tcW w:w="7400" w:type="dxa"/>
            <w:vAlign w:val="bottom"/>
          </w:tcPr>
          <w:p>
            <w:pPr>
              <w:ind w:left="60"/>
              <w:spacing w:after="0" w:line="138" w:lineRule="exact"/>
              <w:rPr>
                <w:sz w:val="20"/>
                <w:szCs w:val="20"/>
                <w:color w:val="auto"/>
              </w:rPr>
            </w:pPr>
            <w:r>
              <w:rPr>
                <w:rFonts w:ascii="Arial" w:cs="Arial" w:eastAsia="Arial" w:hAnsi="Arial"/>
                <w:sz w:val="13"/>
                <w:szCs w:val="13"/>
                <w:color w:val="auto"/>
              </w:rPr>
              <w:t>Audit; Compensation</w:t>
            </w:r>
          </w:p>
        </w:tc>
      </w:tr>
      <w:tr>
        <w:trPr>
          <w:trHeight w:val="144"/>
        </w:trPr>
        <w:tc>
          <w:tcPr>
            <w:tcW w:w="20" w:type="dxa"/>
            <w:vAlign w:val="bottom"/>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6"/>
              </w:rPr>
              <w:t>2021</w:t>
            </w:r>
          </w:p>
        </w:tc>
        <w:tc>
          <w:tcPr>
            <w:tcW w:w="780" w:type="dxa"/>
            <w:vAlign w:val="bottom"/>
            <w:tcBorders>
              <w:bottom w:val="single" w:sz="8" w:color="auto"/>
              <w:right w:val="single" w:sz="8" w:color="auto"/>
            </w:tcBorders>
          </w:tcPr>
          <w:p>
            <w:pPr>
              <w:spacing w:after="0"/>
              <w:rPr>
                <w:sz w:val="12"/>
                <w:szCs w:val="12"/>
                <w:color w:val="auto"/>
              </w:rPr>
            </w:pPr>
          </w:p>
        </w:tc>
        <w:tc>
          <w:tcPr>
            <w:tcW w:w="7400" w:type="dxa"/>
            <w:vAlign w:val="bottom"/>
            <w:tcBorders>
              <w:bottom w:val="single" w:sz="8" w:color="auto"/>
            </w:tcBorders>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94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Nitin Sahney</w:t>
            </w:r>
          </w:p>
        </w:tc>
        <w:tc>
          <w:tcPr>
            <w:tcW w:w="3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58</w:t>
            </w:r>
          </w:p>
        </w:tc>
        <w:tc>
          <w:tcPr>
            <w:tcW w:w="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9"/>
              </w:rPr>
              <w:t>January</w:t>
            </w:r>
          </w:p>
        </w:tc>
        <w:tc>
          <w:tcPr>
            <w:tcW w:w="7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9"/>
              </w:rPr>
              <w:t>Yes</w:t>
            </w:r>
          </w:p>
        </w:tc>
        <w:tc>
          <w:tcPr>
            <w:tcW w:w="7400" w:type="dxa"/>
            <w:vAlign w:val="bottom"/>
          </w:tcPr>
          <w:p>
            <w:pPr>
              <w:ind w:left="60"/>
              <w:spacing w:after="0" w:line="138" w:lineRule="exact"/>
              <w:rPr>
                <w:sz w:val="20"/>
                <w:szCs w:val="20"/>
                <w:color w:val="auto"/>
              </w:rPr>
            </w:pPr>
            <w:r>
              <w:rPr>
                <w:rFonts w:ascii="Arial" w:cs="Arial" w:eastAsia="Arial" w:hAnsi="Arial"/>
                <w:sz w:val="13"/>
                <w:szCs w:val="13"/>
                <w:color w:val="auto"/>
              </w:rPr>
              <w:t>Nominating and Governance (Chair); Audit</w:t>
            </w:r>
          </w:p>
        </w:tc>
      </w:tr>
      <w:tr>
        <w:trPr>
          <w:trHeight w:val="144"/>
        </w:trPr>
        <w:tc>
          <w:tcPr>
            <w:tcW w:w="20" w:type="dxa"/>
            <w:vAlign w:val="bottom"/>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6"/>
              </w:rPr>
              <w:t>2016</w:t>
            </w:r>
          </w:p>
        </w:tc>
        <w:tc>
          <w:tcPr>
            <w:tcW w:w="780" w:type="dxa"/>
            <w:vAlign w:val="bottom"/>
            <w:tcBorders>
              <w:bottom w:val="single" w:sz="8" w:color="auto"/>
              <w:right w:val="single" w:sz="8" w:color="auto"/>
            </w:tcBorders>
          </w:tcPr>
          <w:p>
            <w:pPr>
              <w:spacing w:after="0"/>
              <w:rPr>
                <w:sz w:val="12"/>
                <w:szCs w:val="12"/>
                <w:color w:val="auto"/>
              </w:rPr>
            </w:pPr>
          </w:p>
        </w:tc>
        <w:tc>
          <w:tcPr>
            <w:tcW w:w="7400" w:type="dxa"/>
            <w:vAlign w:val="bottom"/>
            <w:tcBorders>
              <w:bottom w:val="single" w:sz="8" w:color="auto"/>
            </w:tcBorders>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940" w:type="dxa"/>
            <w:vAlign w:val="bottom"/>
            <w:tcBorders>
              <w:right w:val="single" w:sz="8" w:color="auto"/>
            </w:tcBorders>
          </w:tcPr>
          <w:p>
            <w:pPr>
              <w:spacing w:after="0" w:line="138" w:lineRule="exact"/>
              <w:rPr>
                <w:sz w:val="20"/>
                <w:szCs w:val="20"/>
                <w:color w:val="auto"/>
              </w:rPr>
            </w:pPr>
            <w:r>
              <w:rPr>
                <w:rFonts w:ascii="Arial" w:cs="Arial" w:eastAsia="Arial" w:hAnsi="Arial"/>
                <w:sz w:val="13"/>
                <w:szCs w:val="13"/>
                <w:b w:val="1"/>
                <w:bCs w:val="1"/>
                <w:color w:val="auto"/>
              </w:rPr>
              <w:t>Jaynie Studenmund</w:t>
            </w:r>
          </w:p>
        </w:tc>
        <w:tc>
          <w:tcPr>
            <w:tcW w:w="3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6"/>
              </w:rPr>
              <w:t>66</w:t>
            </w:r>
          </w:p>
        </w:tc>
        <w:tc>
          <w:tcPr>
            <w:tcW w:w="8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7"/>
              </w:rPr>
              <w:t>September</w:t>
            </w:r>
          </w:p>
        </w:tc>
        <w:tc>
          <w:tcPr>
            <w:tcW w:w="7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9"/>
              </w:rPr>
              <w:t>Yes</w:t>
            </w:r>
          </w:p>
        </w:tc>
        <w:tc>
          <w:tcPr>
            <w:tcW w:w="7400" w:type="dxa"/>
            <w:vAlign w:val="bottom"/>
          </w:tcPr>
          <w:p>
            <w:pPr>
              <w:ind w:left="60"/>
              <w:spacing w:after="0" w:line="138" w:lineRule="exact"/>
              <w:rPr>
                <w:sz w:val="20"/>
                <w:szCs w:val="20"/>
                <w:color w:val="auto"/>
              </w:rPr>
            </w:pPr>
            <w:r>
              <w:rPr>
                <w:rFonts w:ascii="Arial" w:cs="Arial" w:eastAsia="Arial" w:hAnsi="Arial"/>
                <w:sz w:val="13"/>
                <w:szCs w:val="13"/>
                <w:color w:val="auto"/>
              </w:rPr>
              <w:t>Compensation (Chair); Audit</w:t>
            </w:r>
          </w:p>
        </w:tc>
      </w:tr>
      <w:tr>
        <w:trPr>
          <w:trHeight w:val="153"/>
        </w:trPr>
        <w:tc>
          <w:tcPr>
            <w:tcW w:w="20" w:type="dxa"/>
            <w:vAlign w:val="bottom"/>
          </w:tcPr>
          <w:p>
            <w:pPr>
              <w:spacing w:after="0"/>
              <w:rPr>
                <w:sz w:val="13"/>
                <w:szCs w:val="13"/>
                <w:color w:val="auto"/>
              </w:rPr>
            </w:pPr>
          </w:p>
        </w:tc>
        <w:tc>
          <w:tcPr>
            <w:tcW w:w="1940" w:type="dxa"/>
            <w:vAlign w:val="bottom"/>
            <w:tcBorders>
              <w:bottom w:val="single" w:sz="8" w:color="479EFF"/>
              <w:right w:val="single" w:sz="8" w:color="auto"/>
            </w:tcBorders>
          </w:tcPr>
          <w:p>
            <w:pPr>
              <w:spacing w:after="0"/>
              <w:rPr>
                <w:sz w:val="13"/>
                <w:szCs w:val="13"/>
                <w:color w:val="auto"/>
              </w:rPr>
            </w:pPr>
          </w:p>
        </w:tc>
        <w:tc>
          <w:tcPr>
            <w:tcW w:w="360" w:type="dxa"/>
            <w:vAlign w:val="bottom"/>
            <w:tcBorders>
              <w:bottom w:val="single" w:sz="8" w:color="479EFF"/>
              <w:right w:val="single" w:sz="8" w:color="auto"/>
            </w:tcBorders>
          </w:tcPr>
          <w:p>
            <w:pPr>
              <w:spacing w:after="0"/>
              <w:rPr>
                <w:sz w:val="13"/>
                <w:szCs w:val="13"/>
                <w:color w:val="auto"/>
              </w:rPr>
            </w:pPr>
          </w:p>
        </w:tc>
        <w:tc>
          <w:tcPr>
            <w:tcW w:w="800" w:type="dxa"/>
            <w:vAlign w:val="bottom"/>
            <w:tcBorders>
              <w:bottom w:val="single" w:sz="8" w:color="479EFF"/>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6"/>
              </w:rPr>
              <w:t>2018</w:t>
            </w:r>
          </w:p>
        </w:tc>
        <w:tc>
          <w:tcPr>
            <w:tcW w:w="780" w:type="dxa"/>
            <w:vAlign w:val="bottom"/>
            <w:tcBorders>
              <w:bottom w:val="single" w:sz="8" w:color="479EFF"/>
              <w:right w:val="single" w:sz="8" w:color="auto"/>
            </w:tcBorders>
          </w:tcPr>
          <w:p>
            <w:pPr>
              <w:spacing w:after="0"/>
              <w:rPr>
                <w:sz w:val="13"/>
                <w:szCs w:val="13"/>
                <w:color w:val="auto"/>
              </w:rPr>
            </w:pPr>
          </w:p>
        </w:tc>
        <w:tc>
          <w:tcPr>
            <w:tcW w:w="7400" w:type="dxa"/>
            <w:vAlign w:val="bottom"/>
            <w:tcBorders>
              <w:bottom w:val="single" w:sz="8" w:color="479EFF"/>
            </w:tcBorders>
          </w:tcPr>
          <w:p>
            <w:pPr>
              <w:spacing w:after="0"/>
              <w:rPr>
                <w:sz w:val="13"/>
                <w:szCs w:val="13"/>
                <w:color w:val="auto"/>
              </w:rPr>
            </w:pPr>
          </w:p>
        </w:tc>
      </w:tr>
      <w:tr>
        <w:trPr>
          <w:trHeight w:val="310"/>
        </w:trPr>
        <w:tc>
          <w:tcPr>
            <w:tcW w:w="1960" w:type="dxa"/>
            <w:vAlign w:val="bottom"/>
            <w:gridSpan w:val="2"/>
          </w:tcPr>
          <w:p>
            <w:pPr>
              <w:spacing w:after="0"/>
              <w:rPr>
                <w:sz w:val="20"/>
                <w:szCs w:val="20"/>
                <w:color w:val="auto"/>
              </w:rPr>
            </w:pPr>
            <w:r>
              <w:rPr>
                <w:rFonts w:ascii="Arial" w:cs="Arial" w:eastAsia="Arial" w:hAnsi="Arial"/>
                <w:sz w:val="13"/>
                <w:szCs w:val="13"/>
                <w:b w:val="1"/>
                <w:bCs w:val="1"/>
                <w:color w:val="479EFF"/>
              </w:rPr>
              <w:t>Required Vote</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0" w:type="dxa"/>
            <w:vAlign w:val="bottom"/>
          </w:tcPr>
          <w:p>
            <w:pPr>
              <w:spacing w:after="0"/>
              <w:rPr>
                <w:sz w:val="24"/>
                <w:szCs w:val="24"/>
                <w:color w:val="auto"/>
              </w:rPr>
            </w:pPr>
          </w:p>
        </w:tc>
      </w:tr>
    </w:tbl>
    <w:p>
      <w:pPr>
        <w:spacing w:after="0" w:line="149" w:lineRule="exact"/>
        <w:rPr>
          <w:sz w:val="20"/>
          <w:szCs w:val="20"/>
          <w:color w:val="auto"/>
        </w:rPr>
      </w:pPr>
    </w:p>
    <w:p>
      <w:pPr>
        <w:jc w:val="both"/>
        <w:ind w:right="40"/>
        <w:spacing w:after="0" w:line="236" w:lineRule="auto"/>
        <w:rPr>
          <w:sz w:val="20"/>
          <w:szCs w:val="20"/>
          <w:color w:val="auto"/>
        </w:rPr>
      </w:pPr>
      <w:r>
        <w:rPr>
          <w:rFonts w:ascii="Arial" w:cs="Arial" w:eastAsia="Arial" w:hAnsi="Arial"/>
          <w:sz w:val="13"/>
          <w:szCs w:val="13"/>
          <w:color w:val="auto"/>
        </w:rPr>
        <w:t>The affirmative vote of a majority of votes (meaning the number of shares voted "for" a nominee must exceed the number of shares voted "against" such nominee) cast in person or represented by proxy and entitled to vote at the Annual Meeting will elect the nine nominees as directors for a term of one year. If any nominee for director receives a greater number of votes "against" his or her election than votes "for" such election, our by-laws provide that such person will tender to the board of directors his or her resignation as a director. Unless marked to the contrary, proxies received will be voted "FOR"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94615</wp:posOffset>
            </wp:positionV>
            <wp:extent cx="3724275" cy="8769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724275" cy="87693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1169035</wp:posOffset>
            </wp:positionV>
            <wp:extent cx="1408430" cy="3333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800"/>
        <w:spacing w:after="0"/>
        <w:rPr>
          <w:sz w:val="20"/>
          <w:szCs w:val="20"/>
          <w:color w:val="auto"/>
        </w:rPr>
      </w:pPr>
      <w:r>
        <w:rPr>
          <w:rFonts w:ascii="Arial" w:cs="Arial" w:eastAsia="Arial" w:hAnsi="Arial"/>
          <w:sz w:val="13"/>
          <w:szCs w:val="13"/>
          <w:color w:val="FFFFFE"/>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12" w:name="page113"/>
    <w:bookmarkEnd w:id="112"/>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PROPOSAL 2 — RATIFICATION OF THE APPOINTMENT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PROPOSAL 2 — RATIFICATION OF THE APPOINTMENT OF INDEPENDENT REGISTERED PUBLIC ACCOUNTING FIRM</w:t>
      </w:r>
    </w:p>
    <w:p>
      <w:pPr>
        <w:spacing w:after="0" w:line="180" w:lineRule="exact"/>
        <w:rPr>
          <w:sz w:val="20"/>
          <w:szCs w:val="20"/>
          <w:color w:val="auto"/>
        </w:rPr>
      </w:pPr>
    </w:p>
    <w:p>
      <w:pPr>
        <w:ind w:right="100"/>
        <w:spacing w:after="0" w:line="236" w:lineRule="auto"/>
        <w:rPr>
          <w:sz w:val="20"/>
          <w:szCs w:val="20"/>
          <w:color w:val="auto"/>
        </w:rPr>
      </w:pPr>
      <w:r>
        <w:rPr>
          <w:rFonts w:ascii="Arial" w:cs="Arial" w:eastAsia="Arial" w:hAnsi="Arial"/>
          <w:sz w:val="13"/>
          <w:szCs w:val="13"/>
          <w:color w:val="auto"/>
        </w:rPr>
        <w:t>Our Audit Committee has appointed Deloitte &amp; Touche LLP ("Deloitte") as the independent registered public accounting firm to audit the Company's and its subsidiaries' books, records and accounts for the fiscal year 2021. Our board of directors has endorsed this appointment. Ratification of the appointment of Deloitte by our stockholders is not required by law. However, as a matter of good corporate practice, such appointment is being submitted to our stockholders for ratification at the Annual Meeting. If our stockholders do not ratify the appointment, our board of directors and our Audit Committee will reconsider whether or not to retain Deloitte, but may nonetheless retain Deloitte. Even if the appointment is ratified, the Audit Committee in its discretion may change such appointment at any time during the year if it determines that such change would be in the best interests of the Company and our stockholders.</w:t>
      </w:r>
    </w:p>
    <w:p>
      <w:pPr>
        <w:spacing w:after="0" w:line="150"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In retaining Deloitte as the Company's independent registered public accounting firm, the Audit Committee considered whether the provision of non-audit services by Deloitte was compatible with maintaining Deloitte's independence and concluded that it was. Representatives of Deloitte are expected to be present at the Annual Meeting. They will have an opportunity to make a statement, if they desire to do so, and will be available to respond to appropriate questions. Deloitte has served as our independent registered public accounting firm since February 28, 2018.</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Audit and Non-Audit Fees</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following is a summary of the fees billed or expected to be billed to us by the Company's independent registered public accounting firm for professional services rendered in each of the last two fiscal years:</w:t>
      </w:r>
    </w:p>
    <w:p>
      <w:pPr>
        <w:spacing w:after="0" w:line="130"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2480" w:type="dxa"/>
            <w:vAlign w:val="bottom"/>
          </w:tcPr>
          <w:p>
            <w:pPr>
              <w:jc w:val="right"/>
              <w:ind w:right="97"/>
              <w:spacing w:after="0"/>
              <w:rPr>
                <w:sz w:val="20"/>
                <w:szCs w:val="20"/>
                <w:color w:val="auto"/>
              </w:rPr>
            </w:pPr>
            <w:r>
              <w:rPr>
                <w:rFonts w:ascii="Arial" w:cs="Arial" w:eastAsia="Arial" w:hAnsi="Arial"/>
                <w:sz w:val="13"/>
                <w:szCs w:val="13"/>
                <w:b w:val="1"/>
                <w:bCs w:val="1"/>
                <w:color w:val="479EFF"/>
              </w:rPr>
              <w:t>Fiscal</w:t>
            </w:r>
          </w:p>
        </w:tc>
        <w:tc>
          <w:tcPr>
            <w:tcW w:w="1680" w:type="dxa"/>
            <w:vAlign w:val="bottom"/>
          </w:tcPr>
          <w:p>
            <w:pPr>
              <w:jc w:val="right"/>
              <w:spacing w:after="0"/>
              <w:rPr>
                <w:sz w:val="20"/>
                <w:szCs w:val="20"/>
                <w:color w:val="auto"/>
              </w:rPr>
            </w:pPr>
            <w:r>
              <w:rPr>
                <w:rFonts w:ascii="Arial" w:cs="Arial" w:eastAsia="Arial" w:hAnsi="Arial"/>
                <w:sz w:val="13"/>
                <w:szCs w:val="13"/>
                <w:b w:val="1"/>
                <w:bCs w:val="1"/>
                <w:color w:val="479EFF"/>
              </w:rPr>
              <w:t>Fiscal</w:t>
            </w:r>
          </w:p>
        </w:tc>
      </w:tr>
      <w:tr>
        <w:trPr>
          <w:trHeight w:val="146"/>
        </w:trPr>
        <w:tc>
          <w:tcPr>
            <w:tcW w:w="3020" w:type="dxa"/>
            <w:vAlign w:val="bottom"/>
          </w:tcPr>
          <w:p>
            <w:pPr>
              <w:spacing w:after="0" w:line="146" w:lineRule="exact"/>
              <w:rPr>
                <w:sz w:val="20"/>
                <w:szCs w:val="20"/>
                <w:color w:val="auto"/>
              </w:rPr>
            </w:pPr>
            <w:r>
              <w:rPr>
                <w:rFonts w:ascii="Arial" w:cs="Arial" w:eastAsia="Arial" w:hAnsi="Arial"/>
                <w:sz w:val="13"/>
                <w:szCs w:val="13"/>
                <w:b w:val="1"/>
                <w:bCs w:val="1"/>
                <w:color w:val="479EFF"/>
              </w:rPr>
              <w:t>Fee Category</w:t>
            </w:r>
          </w:p>
        </w:tc>
        <w:tc>
          <w:tcPr>
            <w:tcW w:w="2480" w:type="dxa"/>
            <w:vAlign w:val="bottom"/>
          </w:tcPr>
          <w:p>
            <w:pPr>
              <w:jc w:val="right"/>
              <w:ind w:right="137"/>
              <w:spacing w:after="0" w:line="146" w:lineRule="exact"/>
              <w:rPr>
                <w:sz w:val="20"/>
                <w:szCs w:val="20"/>
                <w:color w:val="auto"/>
              </w:rPr>
            </w:pPr>
            <w:r>
              <w:rPr>
                <w:rFonts w:ascii="Arial" w:cs="Arial" w:eastAsia="Arial" w:hAnsi="Arial"/>
                <w:sz w:val="13"/>
                <w:szCs w:val="13"/>
                <w:b w:val="1"/>
                <w:bCs w:val="1"/>
                <w:color w:val="479EFF"/>
              </w:rPr>
              <w:t>2020</w:t>
            </w:r>
          </w:p>
        </w:tc>
        <w:tc>
          <w:tcPr>
            <w:tcW w:w="1680" w:type="dxa"/>
            <w:vAlign w:val="bottom"/>
          </w:tcPr>
          <w:p>
            <w:pPr>
              <w:jc w:val="right"/>
              <w:spacing w:after="0" w:line="146" w:lineRule="exact"/>
              <w:rPr>
                <w:sz w:val="20"/>
                <w:szCs w:val="20"/>
                <w:color w:val="auto"/>
              </w:rPr>
            </w:pPr>
            <w:r>
              <w:rPr>
                <w:rFonts w:ascii="Arial" w:cs="Arial" w:eastAsia="Arial" w:hAnsi="Arial"/>
                <w:sz w:val="13"/>
                <w:szCs w:val="13"/>
                <w:b w:val="1"/>
                <w:bCs w:val="1"/>
                <w:color w:val="479EFF"/>
              </w:rPr>
              <w:t>2019</w:t>
            </w:r>
          </w:p>
        </w:tc>
      </w:tr>
      <w:tr>
        <w:trPr>
          <w:trHeight w:val="169"/>
        </w:trPr>
        <w:tc>
          <w:tcPr>
            <w:tcW w:w="3020" w:type="dxa"/>
            <w:vAlign w:val="bottom"/>
            <w:tcBorders>
              <w:bottom w:val="single" w:sz="8" w:color="479EFF"/>
            </w:tcBorders>
          </w:tcPr>
          <w:p>
            <w:pPr>
              <w:spacing w:after="0"/>
              <w:rPr>
                <w:sz w:val="14"/>
                <w:szCs w:val="14"/>
                <w:color w:val="auto"/>
              </w:rPr>
            </w:pPr>
          </w:p>
        </w:tc>
        <w:tc>
          <w:tcPr>
            <w:tcW w:w="2480" w:type="dxa"/>
            <w:vAlign w:val="bottom"/>
            <w:tcBorders>
              <w:bottom w:val="single" w:sz="8" w:color="479EFF"/>
            </w:tcBorders>
          </w:tcPr>
          <w:p>
            <w:pPr>
              <w:spacing w:after="0"/>
              <w:rPr>
                <w:sz w:val="14"/>
                <w:szCs w:val="14"/>
                <w:color w:val="auto"/>
              </w:rPr>
            </w:pPr>
          </w:p>
        </w:tc>
        <w:tc>
          <w:tcPr>
            <w:tcW w:w="1680" w:type="dxa"/>
            <w:vAlign w:val="bottom"/>
            <w:tcBorders>
              <w:bottom w:val="single" w:sz="8" w:color="479EFF"/>
            </w:tcBorders>
          </w:tcPr>
          <w:p>
            <w:pPr>
              <w:jc w:val="right"/>
              <w:ind w:right="617"/>
              <w:spacing w:after="0"/>
              <w:rPr>
                <w:sz w:val="20"/>
                <w:szCs w:val="20"/>
                <w:color w:val="auto"/>
              </w:rPr>
            </w:pPr>
            <w:r>
              <w:rPr>
                <w:rFonts w:ascii="Arial" w:cs="Arial" w:eastAsia="Arial" w:hAnsi="Arial"/>
                <w:sz w:val="13"/>
                <w:szCs w:val="13"/>
                <w:b w:val="1"/>
                <w:bCs w:val="1"/>
                <w:color w:val="479EFF"/>
              </w:rPr>
              <w:t>(in thousands)</w:t>
            </w:r>
          </w:p>
        </w:tc>
      </w:tr>
      <w:tr>
        <w:trPr>
          <w:trHeight w:val="148"/>
        </w:trPr>
        <w:tc>
          <w:tcPr>
            <w:tcW w:w="3020" w:type="dxa"/>
            <w:vAlign w:val="bottom"/>
          </w:tcPr>
          <w:p>
            <w:pPr>
              <w:spacing w:after="0" w:line="148" w:lineRule="exact"/>
              <w:rPr>
                <w:sz w:val="20"/>
                <w:szCs w:val="20"/>
                <w:color w:val="auto"/>
              </w:rPr>
            </w:pPr>
            <w:r>
              <w:rPr>
                <w:rFonts w:ascii="Arial" w:cs="Arial" w:eastAsia="Arial" w:hAnsi="Arial"/>
                <w:sz w:val="13"/>
                <w:szCs w:val="13"/>
                <w:color w:val="auto"/>
              </w:rPr>
              <w:t>Audit Fees</w:t>
            </w:r>
          </w:p>
        </w:tc>
        <w:tc>
          <w:tcPr>
            <w:tcW w:w="24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$ 1,451</w:t>
            </w:r>
          </w:p>
        </w:tc>
        <w:tc>
          <w:tcPr>
            <w:tcW w:w="1680" w:type="dxa"/>
            <w:vAlign w:val="bottom"/>
          </w:tcPr>
          <w:p>
            <w:pPr>
              <w:jc w:val="right"/>
              <w:spacing w:after="0" w:line="148" w:lineRule="exact"/>
              <w:rPr>
                <w:sz w:val="20"/>
                <w:szCs w:val="20"/>
                <w:color w:val="auto"/>
              </w:rPr>
            </w:pPr>
            <w:r>
              <w:rPr>
                <w:rFonts w:ascii="Arial" w:cs="Arial" w:eastAsia="Arial" w:hAnsi="Arial"/>
                <w:sz w:val="13"/>
                <w:szCs w:val="13"/>
                <w:color w:val="auto"/>
              </w:rPr>
              <w:t>$ 1,391</w:t>
            </w:r>
          </w:p>
        </w:tc>
      </w:tr>
      <w:tr>
        <w:trPr>
          <w:trHeight w:val="146"/>
        </w:trPr>
        <w:tc>
          <w:tcPr>
            <w:tcW w:w="3020" w:type="dxa"/>
            <w:vAlign w:val="bottom"/>
          </w:tcPr>
          <w:p>
            <w:pPr>
              <w:spacing w:after="0" w:line="146" w:lineRule="exact"/>
              <w:rPr>
                <w:sz w:val="20"/>
                <w:szCs w:val="20"/>
                <w:color w:val="auto"/>
              </w:rPr>
            </w:pPr>
            <w:r>
              <w:rPr>
                <w:rFonts w:ascii="Arial" w:cs="Arial" w:eastAsia="Arial" w:hAnsi="Arial"/>
                <w:sz w:val="13"/>
                <w:szCs w:val="13"/>
                <w:color w:val="auto"/>
              </w:rPr>
              <w:t>Audit-Related Fees</w:t>
            </w:r>
          </w:p>
        </w:tc>
        <w:tc>
          <w:tcPr>
            <w:tcW w:w="2480" w:type="dxa"/>
            <w:vAlign w:val="bottom"/>
          </w:tcPr>
          <w:p>
            <w:pPr>
              <w:jc w:val="right"/>
              <w:ind w:right="77"/>
              <w:spacing w:after="0" w:line="146" w:lineRule="exact"/>
              <w:rPr>
                <w:sz w:val="20"/>
                <w:szCs w:val="20"/>
                <w:color w:val="auto"/>
              </w:rPr>
            </w:pPr>
            <w:r>
              <w:rPr>
                <w:rFonts w:ascii="Arial" w:cs="Arial" w:eastAsia="Arial" w:hAnsi="Arial"/>
                <w:sz w:val="13"/>
                <w:szCs w:val="13"/>
                <w:color w:val="auto"/>
              </w:rPr>
              <w:t>—</w:t>
            </w:r>
          </w:p>
        </w:tc>
        <w:tc>
          <w:tcPr>
            <w:tcW w:w="1680" w:type="dxa"/>
            <w:vAlign w:val="bottom"/>
          </w:tcPr>
          <w:p>
            <w:pPr>
              <w:jc w:val="right"/>
              <w:spacing w:after="0" w:line="146" w:lineRule="exact"/>
              <w:rPr>
                <w:sz w:val="20"/>
                <w:szCs w:val="20"/>
                <w:color w:val="auto"/>
              </w:rPr>
            </w:pPr>
            <w:r>
              <w:rPr>
                <w:rFonts w:ascii="Arial" w:cs="Arial" w:eastAsia="Arial" w:hAnsi="Arial"/>
                <w:sz w:val="13"/>
                <w:szCs w:val="13"/>
                <w:color w:val="auto"/>
              </w:rPr>
              <w:t>114</w:t>
            </w:r>
          </w:p>
        </w:tc>
      </w:tr>
      <w:tr>
        <w:trPr>
          <w:trHeight w:val="146"/>
        </w:trPr>
        <w:tc>
          <w:tcPr>
            <w:tcW w:w="3020" w:type="dxa"/>
            <w:vAlign w:val="bottom"/>
          </w:tcPr>
          <w:p>
            <w:pPr>
              <w:spacing w:after="0" w:line="146" w:lineRule="exact"/>
              <w:rPr>
                <w:sz w:val="20"/>
                <w:szCs w:val="20"/>
                <w:color w:val="auto"/>
              </w:rPr>
            </w:pPr>
            <w:r>
              <w:rPr>
                <w:rFonts w:ascii="Arial" w:cs="Arial" w:eastAsia="Arial" w:hAnsi="Arial"/>
                <w:sz w:val="13"/>
                <w:szCs w:val="13"/>
                <w:color w:val="auto"/>
              </w:rPr>
              <w:t>Tax Fees</w:t>
            </w:r>
          </w:p>
        </w:tc>
        <w:tc>
          <w:tcPr>
            <w:tcW w:w="2480" w:type="dxa"/>
            <w:vAlign w:val="bottom"/>
          </w:tcPr>
          <w:p>
            <w:pPr>
              <w:jc w:val="right"/>
              <w:ind w:right="77"/>
              <w:spacing w:after="0" w:line="146" w:lineRule="exact"/>
              <w:rPr>
                <w:sz w:val="20"/>
                <w:szCs w:val="20"/>
                <w:color w:val="auto"/>
              </w:rPr>
            </w:pPr>
            <w:r>
              <w:rPr>
                <w:rFonts w:ascii="Arial" w:cs="Arial" w:eastAsia="Arial" w:hAnsi="Arial"/>
                <w:sz w:val="13"/>
                <w:szCs w:val="13"/>
                <w:color w:val="auto"/>
              </w:rPr>
              <w:t>758</w:t>
            </w:r>
          </w:p>
        </w:tc>
        <w:tc>
          <w:tcPr>
            <w:tcW w:w="1680" w:type="dxa"/>
            <w:vAlign w:val="bottom"/>
          </w:tcPr>
          <w:p>
            <w:pPr>
              <w:jc w:val="right"/>
              <w:spacing w:after="0" w:line="146" w:lineRule="exact"/>
              <w:rPr>
                <w:sz w:val="20"/>
                <w:szCs w:val="20"/>
                <w:color w:val="auto"/>
              </w:rPr>
            </w:pPr>
            <w:r>
              <w:rPr>
                <w:rFonts w:ascii="Arial" w:cs="Arial" w:eastAsia="Arial" w:hAnsi="Arial"/>
                <w:sz w:val="13"/>
                <w:szCs w:val="13"/>
                <w:color w:val="auto"/>
              </w:rPr>
              <w:t>696</w:t>
            </w:r>
          </w:p>
        </w:tc>
      </w:tr>
      <w:tr>
        <w:trPr>
          <w:trHeight w:val="153"/>
        </w:trPr>
        <w:tc>
          <w:tcPr>
            <w:tcW w:w="3020" w:type="dxa"/>
            <w:vAlign w:val="bottom"/>
            <w:tcBorders>
              <w:bottom w:val="single" w:sz="8" w:color="479EFF"/>
            </w:tcBorders>
          </w:tcPr>
          <w:p>
            <w:pPr>
              <w:spacing w:after="0" w:line="144" w:lineRule="exact"/>
              <w:rPr>
                <w:sz w:val="20"/>
                <w:szCs w:val="20"/>
                <w:color w:val="auto"/>
              </w:rPr>
            </w:pPr>
            <w:r>
              <w:rPr>
                <w:rFonts w:ascii="Arial" w:cs="Arial" w:eastAsia="Arial" w:hAnsi="Arial"/>
                <w:sz w:val="13"/>
                <w:szCs w:val="13"/>
                <w:color w:val="auto"/>
              </w:rPr>
              <w:t>All Other Fees</w:t>
            </w:r>
          </w:p>
        </w:tc>
        <w:tc>
          <w:tcPr>
            <w:tcW w:w="2480" w:type="dxa"/>
            <w:vAlign w:val="bottom"/>
            <w:tcBorders>
              <w:bottom w:val="single" w:sz="8" w:color="479EFF"/>
            </w:tcBorders>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680" w:type="dxa"/>
            <w:vAlign w:val="bottom"/>
            <w:tcBorders>
              <w:bottom w:val="single" w:sz="8" w:color="479EFF"/>
            </w:tcBorders>
          </w:tcPr>
          <w:p>
            <w:pPr>
              <w:jc w:val="right"/>
              <w:spacing w:after="0" w:line="144" w:lineRule="exact"/>
              <w:rPr>
                <w:sz w:val="20"/>
                <w:szCs w:val="20"/>
                <w:color w:val="auto"/>
              </w:rPr>
            </w:pPr>
            <w:r>
              <w:rPr>
                <w:rFonts w:ascii="Arial" w:cs="Arial" w:eastAsia="Arial" w:hAnsi="Arial"/>
                <w:sz w:val="13"/>
                <w:szCs w:val="13"/>
                <w:color w:val="auto"/>
              </w:rPr>
              <w:t>—</w:t>
            </w:r>
          </w:p>
        </w:tc>
      </w:tr>
      <w:tr>
        <w:trPr>
          <w:trHeight w:val="168"/>
        </w:trPr>
        <w:tc>
          <w:tcPr>
            <w:tcW w:w="3020" w:type="dxa"/>
            <w:vAlign w:val="bottom"/>
          </w:tcPr>
          <w:p>
            <w:pPr>
              <w:spacing w:after="0"/>
              <w:rPr>
                <w:sz w:val="20"/>
                <w:szCs w:val="20"/>
                <w:color w:val="auto"/>
              </w:rPr>
            </w:pPr>
            <w:r>
              <w:rPr>
                <w:rFonts w:ascii="Arial" w:cs="Arial" w:eastAsia="Arial" w:hAnsi="Arial"/>
                <w:sz w:val="13"/>
                <w:szCs w:val="13"/>
                <w:b w:val="1"/>
                <w:bCs w:val="1"/>
                <w:color w:val="auto"/>
              </w:rPr>
              <w:t>Total Fees</w:t>
            </w:r>
          </w:p>
        </w:tc>
        <w:tc>
          <w:tcPr>
            <w:tcW w:w="2480" w:type="dxa"/>
            <w:vAlign w:val="bottom"/>
          </w:tcPr>
          <w:p>
            <w:pPr>
              <w:jc w:val="right"/>
              <w:ind w:right="77"/>
              <w:spacing w:after="0"/>
              <w:rPr>
                <w:sz w:val="20"/>
                <w:szCs w:val="20"/>
                <w:color w:val="auto"/>
              </w:rPr>
            </w:pPr>
            <w:r>
              <w:rPr>
                <w:rFonts w:ascii="Arial" w:cs="Arial" w:eastAsia="Arial" w:hAnsi="Arial"/>
                <w:sz w:val="13"/>
                <w:szCs w:val="13"/>
                <w:color w:val="auto"/>
              </w:rPr>
              <w:t>$ 2,209</w:t>
            </w:r>
          </w:p>
        </w:tc>
        <w:tc>
          <w:tcPr>
            <w:tcW w:w="1680" w:type="dxa"/>
            <w:vAlign w:val="bottom"/>
          </w:tcPr>
          <w:p>
            <w:pPr>
              <w:jc w:val="right"/>
              <w:spacing w:after="0"/>
              <w:rPr>
                <w:sz w:val="20"/>
                <w:szCs w:val="20"/>
                <w:color w:val="auto"/>
              </w:rPr>
            </w:pPr>
            <w:r>
              <w:rPr>
                <w:rFonts w:ascii="Arial" w:cs="Arial" w:eastAsia="Arial" w:hAnsi="Arial"/>
                <w:sz w:val="13"/>
                <w:szCs w:val="13"/>
                <w:color w:val="auto"/>
              </w:rPr>
              <w:t>$ 2,201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1408430" cy="3333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13" w:name="page114"/>
    <w:bookmarkEnd w:id="113"/>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0"/>
          <w:szCs w:val="10"/>
          <w:b w:val="1"/>
          <w:bCs w:val="1"/>
          <w:color w:val="CCD9D9"/>
        </w:rPr>
        <w:t>PROPOSAL 2 — RATIFICATION OF THE APPOINTMENT OF INDEPENDENT REGISTERED PUBLIC ACCOUNTING FIRM</w:t>
      </w:r>
    </w:p>
    <w:p>
      <w:pPr>
        <w:spacing w:after="0" w:line="152" w:lineRule="exact"/>
        <w:rPr>
          <w:sz w:val="20"/>
          <w:szCs w:val="20"/>
          <w:color w:val="auto"/>
        </w:rPr>
      </w:pPr>
    </w:p>
    <w:p>
      <w:pPr>
        <w:jc w:val="both"/>
        <w:ind w:right="20"/>
        <w:spacing w:after="0" w:line="249" w:lineRule="auto"/>
        <w:rPr>
          <w:sz w:val="20"/>
          <w:szCs w:val="20"/>
          <w:color w:val="auto"/>
        </w:rPr>
      </w:pPr>
      <w:r>
        <w:rPr>
          <w:rFonts w:ascii="Arial" w:cs="Arial" w:eastAsia="Arial" w:hAnsi="Arial"/>
          <w:sz w:val="13"/>
          <w:szCs w:val="13"/>
          <w:b w:val="1"/>
          <w:bCs w:val="1"/>
          <w:color w:val="auto"/>
        </w:rPr>
        <w:t xml:space="preserve">Audit Fees: </w:t>
      </w:r>
      <w:r>
        <w:rPr>
          <w:rFonts w:ascii="Arial" w:cs="Arial" w:eastAsia="Arial" w:hAnsi="Arial"/>
          <w:sz w:val="13"/>
          <w:szCs w:val="13"/>
          <w:color w:val="auto"/>
        </w:rPr>
        <w:t>Consist of fees billed or expected to be billed for professional services rendered for the audit of our consolidated financial statements, including (i) the audit of effectiveness of internal control</w:t>
      </w:r>
      <w:r>
        <w:rPr>
          <w:rFonts w:ascii="Arial" w:cs="Arial" w:eastAsia="Arial" w:hAnsi="Arial"/>
          <w:sz w:val="13"/>
          <w:szCs w:val="13"/>
          <w:b w:val="1"/>
          <w:bCs w:val="1"/>
          <w:color w:val="auto"/>
        </w:rPr>
        <w:t xml:space="preserve"> </w:t>
      </w:r>
      <w:r>
        <w:rPr>
          <w:rFonts w:ascii="Arial" w:cs="Arial" w:eastAsia="Arial" w:hAnsi="Arial"/>
          <w:sz w:val="13"/>
          <w:szCs w:val="13"/>
          <w:color w:val="auto"/>
        </w:rPr>
        <w:t>over financial reporting, (ii) review of our consolidated financial statements included in our quarterly reports, and (iii) services that are normally provided by our registered independent public accountants including services in connection with statutory or regulatory filings or engagements for those fiscal years.</w:t>
      </w:r>
    </w:p>
    <w:p>
      <w:pPr>
        <w:spacing w:after="0" w:line="128"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b w:val="1"/>
          <w:bCs w:val="1"/>
          <w:color w:val="auto"/>
        </w:rPr>
        <w:t xml:space="preserve">Audit-Related Fees: </w:t>
      </w:r>
      <w:r>
        <w:rPr>
          <w:rFonts w:ascii="Arial" w:cs="Arial" w:eastAsia="Arial" w:hAnsi="Arial"/>
          <w:sz w:val="13"/>
          <w:szCs w:val="13"/>
          <w:color w:val="auto"/>
        </w:rPr>
        <w:t>Consist of fees billed for assurance and related services that are reasonably related to the performance of the audit or review of our consolidated financial statements and are not</w:t>
      </w:r>
      <w:r>
        <w:rPr>
          <w:rFonts w:ascii="Arial" w:cs="Arial" w:eastAsia="Arial" w:hAnsi="Arial"/>
          <w:sz w:val="13"/>
          <w:szCs w:val="13"/>
          <w:b w:val="1"/>
          <w:bCs w:val="1"/>
          <w:color w:val="auto"/>
        </w:rPr>
        <w:t xml:space="preserve"> </w:t>
      </w:r>
      <w:r>
        <w:rPr>
          <w:rFonts w:ascii="Arial" w:cs="Arial" w:eastAsia="Arial" w:hAnsi="Arial"/>
          <w:sz w:val="13"/>
          <w:szCs w:val="13"/>
          <w:color w:val="auto"/>
        </w:rPr>
        <w:t>reported under "Audit Fees." These services include SSAE 18 service organization audits and due diligence in connection with acquisition activity.</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Tax Fees: </w:t>
      </w:r>
      <w:r>
        <w:rPr>
          <w:rFonts w:ascii="Arial" w:cs="Arial" w:eastAsia="Arial" w:hAnsi="Arial"/>
          <w:sz w:val="13"/>
          <w:szCs w:val="13"/>
          <w:color w:val="auto"/>
        </w:rPr>
        <w:t>Consist primarily of fees billed or expected to be billed for other tax filing and advisory projects.</w:t>
      </w:r>
    </w:p>
    <w:p>
      <w:pPr>
        <w:spacing w:after="0" w:line="152" w:lineRule="exact"/>
        <w:rPr>
          <w:sz w:val="20"/>
          <w:szCs w:val="20"/>
          <w:color w:val="auto"/>
        </w:rPr>
      </w:pPr>
    </w:p>
    <w:p>
      <w:pPr>
        <w:ind w:right="460"/>
        <w:spacing w:after="0" w:line="264" w:lineRule="auto"/>
        <w:rPr>
          <w:sz w:val="20"/>
          <w:szCs w:val="20"/>
          <w:color w:val="auto"/>
        </w:rPr>
      </w:pPr>
      <w:r>
        <w:rPr>
          <w:rFonts w:ascii="Arial" w:cs="Arial" w:eastAsia="Arial" w:hAnsi="Arial"/>
          <w:sz w:val="13"/>
          <w:szCs w:val="13"/>
          <w:b w:val="1"/>
          <w:bCs w:val="1"/>
          <w:color w:val="auto"/>
        </w:rPr>
        <w:t xml:space="preserve">All Other Fees: </w:t>
      </w:r>
      <w:r>
        <w:rPr>
          <w:rFonts w:ascii="Arial" w:cs="Arial" w:eastAsia="Arial" w:hAnsi="Arial"/>
          <w:sz w:val="13"/>
          <w:szCs w:val="13"/>
          <w:color w:val="auto"/>
        </w:rPr>
        <w:t>Consist of fees billed or expected to be billed for other permissible work performed by the Company's independent public registered accounting firm that does not meet the above</w:t>
      </w:r>
      <w:r>
        <w:rPr>
          <w:rFonts w:ascii="Arial" w:cs="Arial" w:eastAsia="Arial" w:hAnsi="Arial"/>
          <w:sz w:val="13"/>
          <w:szCs w:val="13"/>
          <w:b w:val="1"/>
          <w:bCs w:val="1"/>
          <w:color w:val="auto"/>
        </w:rPr>
        <w:t xml:space="preserve"> </w:t>
      </w:r>
      <w:r>
        <w:rPr>
          <w:rFonts w:ascii="Arial" w:cs="Arial" w:eastAsia="Arial" w:hAnsi="Arial"/>
          <w:sz w:val="13"/>
          <w:szCs w:val="13"/>
          <w:color w:val="auto"/>
        </w:rPr>
        <w:t>category descriptions.</w:t>
      </w:r>
    </w:p>
    <w:p>
      <w:pPr>
        <w:spacing w:after="0" w:line="135" w:lineRule="exact"/>
        <w:rPr>
          <w:sz w:val="20"/>
          <w:szCs w:val="20"/>
          <w:color w:val="auto"/>
        </w:rPr>
      </w:pPr>
    </w:p>
    <w:p>
      <w:pPr>
        <w:ind w:right="100"/>
        <w:spacing w:after="0" w:line="236" w:lineRule="auto"/>
        <w:rPr>
          <w:sz w:val="20"/>
          <w:szCs w:val="20"/>
          <w:color w:val="auto"/>
        </w:rPr>
      </w:pPr>
      <w:r>
        <w:rPr>
          <w:rFonts w:ascii="Arial" w:cs="Arial" w:eastAsia="Arial" w:hAnsi="Arial"/>
          <w:sz w:val="13"/>
          <w:szCs w:val="13"/>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All of the fees paid to Deloitte in fiscal year 2020 were pre-approved by the Audit Committee.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Required Vote</w:t>
      </w:r>
    </w:p>
    <w:p>
      <w:pPr>
        <w:spacing w:after="0" w:line="168" w:lineRule="exact"/>
        <w:rPr>
          <w:sz w:val="20"/>
          <w:szCs w:val="20"/>
          <w:color w:val="auto"/>
        </w:rPr>
      </w:pPr>
    </w:p>
    <w:p>
      <w:pPr>
        <w:ind w:right="320"/>
        <w:spacing w:after="0" w:line="239" w:lineRule="auto"/>
        <w:rPr>
          <w:sz w:val="20"/>
          <w:szCs w:val="20"/>
          <w:color w:val="auto"/>
        </w:rPr>
      </w:pPr>
      <w:r>
        <w:rPr>
          <w:rFonts w:ascii="Arial" w:cs="Arial" w:eastAsia="Arial" w:hAnsi="Arial"/>
          <w:sz w:val="13"/>
          <w:szCs w:val="13"/>
          <w:color w:val="auto"/>
        </w:rPr>
        <w:t>The ratification of the appointment of Deloitte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93345</wp:posOffset>
            </wp:positionV>
            <wp:extent cx="3724275" cy="7410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724275" cy="74104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1032510</wp:posOffset>
            </wp:positionV>
            <wp:extent cx="1408430" cy="3333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800"/>
        <w:spacing w:after="0"/>
        <w:rPr>
          <w:sz w:val="20"/>
          <w:szCs w:val="20"/>
          <w:color w:val="auto"/>
        </w:rPr>
      </w:pPr>
      <w:r>
        <w:rPr>
          <w:rFonts w:ascii="Arial" w:cs="Arial" w:eastAsia="Arial" w:hAnsi="Arial"/>
          <w:sz w:val="13"/>
          <w:szCs w:val="13"/>
          <w:color w:val="FFFFFE"/>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14" w:name="page115"/>
    <w:bookmarkEnd w:id="114"/>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PROPOSAL 3 — ADVISORY (NON-BINDING) VOTE ON EXECUTIVE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PROPOSAL 3 — ADVISORY (NON-BINDING) VOTE ON EXECUTIVE COMPENSATION</w:t>
      </w:r>
    </w:p>
    <w:p>
      <w:pPr>
        <w:spacing w:after="0" w:line="180" w:lineRule="exact"/>
        <w:rPr>
          <w:sz w:val="20"/>
          <w:szCs w:val="20"/>
          <w:color w:val="auto"/>
        </w:rPr>
      </w:pPr>
    </w:p>
    <w:p>
      <w:pPr>
        <w:jc w:val="both"/>
        <w:ind w:right="20"/>
        <w:spacing w:after="0" w:line="278" w:lineRule="auto"/>
        <w:rPr>
          <w:sz w:val="20"/>
          <w:szCs w:val="20"/>
          <w:color w:val="auto"/>
        </w:rPr>
      </w:pPr>
      <w:r>
        <w:rPr>
          <w:rFonts w:ascii="Arial" w:cs="Arial" w:eastAsia="Arial" w:hAnsi="Arial"/>
          <w:sz w:val="12"/>
          <w:szCs w:val="12"/>
          <w:color w:val="auto"/>
        </w:rPr>
        <w:t>Proposal 3 is a vote, on a non-binding advisory basis, to approve the compensation of our executive officers as described in this proxy statement. Although the vote is advisory and is not binding on the board of directors, our Compensation Committee will take into account the outcome of the vote when considering future executive compensation decisions. We refer to this vote as the "say-on-pay" vote.</w:t>
      </w:r>
    </w:p>
    <w:p>
      <w:pPr>
        <w:spacing w:after="0" w:line="128" w:lineRule="exact"/>
        <w:rPr>
          <w:sz w:val="20"/>
          <w:szCs w:val="20"/>
          <w:color w:val="auto"/>
        </w:rPr>
      </w:pPr>
    </w:p>
    <w:p>
      <w:pPr>
        <w:jc w:val="both"/>
        <w:ind w:right="20"/>
        <w:spacing w:after="0" w:line="237" w:lineRule="auto"/>
        <w:rPr>
          <w:sz w:val="20"/>
          <w:szCs w:val="20"/>
          <w:color w:val="auto"/>
        </w:rPr>
      </w:pPr>
      <w:r>
        <w:rPr>
          <w:rFonts w:ascii="Arial" w:cs="Arial" w:eastAsia="Arial" w:hAnsi="Arial"/>
          <w:sz w:val="13"/>
          <w:szCs w:val="13"/>
          <w:color w:val="auto"/>
        </w:rPr>
        <w:t>At the 2018 Annual Meeting of Stockholders, our stockholders voted on a proposal relating to the frequency of the "say-on-pay" vote. We recommended, and our stockholders approved on a non-binding advisory basis, an annual say-on-pay vote. Accordingly, we include the say-on-pay vote each year as a regular part of each Annual Meeting of Stockholders, and the next such say-on-pay vote will occur at next year's Annual Meeting of Stockholders. The next vote on the frequency of the "say-on-pay" vote will be held at the Annual Meeting to be held in 2023.</w:t>
      </w:r>
    </w:p>
    <w:p>
      <w:pPr>
        <w:spacing w:after="0" w:line="150" w:lineRule="exact"/>
        <w:rPr>
          <w:sz w:val="20"/>
          <w:szCs w:val="20"/>
          <w:color w:val="auto"/>
        </w:rPr>
      </w:pPr>
    </w:p>
    <w:p>
      <w:pPr>
        <w:ind w:left="780" w:hanging="393"/>
        <w:spacing w:after="0"/>
        <w:tabs>
          <w:tab w:leader="none" w:pos="780" w:val="left"/>
        </w:tabs>
        <w:numPr>
          <w:ilvl w:val="0"/>
          <w:numId w:val="95"/>
        </w:numPr>
        <w:rPr>
          <w:rFonts w:ascii="Arial" w:cs="Arial" w:eastAsia="Arial" w:hAnsi="Arial"/>
          <w:sz w:val="13"/>
          <w:szCs w:val="13"/>
          <w:color w:val="FF4000"/>
        </w:rPr>
      </w:pPr>
      <w:r>
        <w:rPr>
          <w:rFonts w:ascii="Arial" w:cs="Arial" w:eastAsia="Arial" w:hAnsi="Arial"/>
          <w:sz w:val="13"/>
          <w:szCs w:val="13"/>
          <w:color w:val="auto"/>
        </w:rPr>
        <w:t>Our board of directors is committed to corporate governance best practices and recognizes the significant interest of stockholders in executive compensation matters.</w:t>
      </w:r>
    </w:p>
    <w:p>
      <w:pPr>
        <w:spacing w:after="0" w:line="152" w:lineRule="exact"/>
        <w:rPr>
          <w:rFonts w:ascii="Arial" w:cs="Arial" w:eastAsia="Arial" w:hAnsi="Arial"/>
          <w:sz w:val="13"/>
          <w:szCs w:val="13"/>
          <w:color w:val="FF4000"/>
        </w:rPr>
      </w:pPr>
    </w:p>
    <w:p>
      <w:pPr>
        <w:ind w:left="780" w:right="60" w:hanging="393"/>
        <w:spacing w:after="0" w:line="236" w:lineRule="auto"/>
        <w:tabs>
          <w:tab w:leader="none" w:pos="780" w:val="left"/>
        </w:tabs>
        <w:numPr>
          <w:ilvl w:val="0"/>
          <w:numId w:val="95"/>
        </w:numPr>
        <w:rPr>
          <w:rFonts w:ascii="Arial" w:cs="Arial" w:eastAsia="Arial" w:hAnsi="Arial"/>
          <w:sz w:val="13"/>
          <w:szCs w:val="13"/>
          <w:color w:val="FF4000"/>
        </w:rPr>
      </w:pPr>
      <w:r>
        <w:rPr>
          <w:rFonts w:ascii="Arial" w:cs="Arial" w:eastAsia="Arial" w:hAnsi="Arial"/>
          <w:sz w:val="13"/>
          <w:szCs w:val="13"/>
          <w:color w:val="auto"/>
        </w:rPr>
        <w:t>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three core financial metrics: Adjusted EPS, revenues and AOPM.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In addition, our philosophy places more emphasis on variable elements of compensation (such as incentive bonuses and equity-based compensation) than fixed remuneration.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Our stockholders have the opportunity to vote for, against or abstain from voting on the following resolution:</w:t>
      </w:r>
    </w:p>
    <w:p>
      <w:pPr>
        <w:spacing w:after="0" w:line="136" w:lineRule="exact"/>
        <w:rPr>
          <w:sz w:val="20"/>
          <w:szCs w:val="20"/>
          <w:color w:val="auto"/>
        </w:rPr>
      </w:pPr>
    </w:p>
    <w:p>
      <w:pPr>
        <w:ind w:left="380"/>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Resolved, that the stockholders approve on an advisory basis the compensation of our named executive officers, as disclosed pursuant to the compensation disclosure rules of the</w:t>
      </w:r>
      <w:r>
        <w:rPr>
          <w:rFonts w:ascii="Arial" w:cs="Arial" w:eastAsia="Arial" w:hAnsi="Arial"/>
          <w:sz w:val="13"/>
          <w:szCs w:val="13"/>
          <w:color w:val="auto"/>
        </w:rPr>
        <w:t xml:space="preserve"> </w:t>
      </w:r>
      <w:r>
        <w:rPr>
          <w:rFonts w:ascii="Arial" w:cs="Arial" w:eastAsia="Arial" w:hAnsi="Arial"/>
          <w:sz w:val="13"/>
          <w:szCs w:val="13"/>
          <w:b w:val="1"/>
          <w:bCs w:val="1"/>
          <w:color w:val="auto"/>
        </w:rPr>
        <w:t>SEC (which disclosure shall include the Compensation Discussion and Analysis, the compensation tables and any related material disclosed in this proxy statement).</w:t>
      </w:r>
      <w:r>
        <w:rPr>
          <w:rFonts w:ascii="Arial" w:cs="Arial" w:eastAsia="Arial" w:hAnsi="Arial"/>
          <w:sz w:val="13"/>
          <w:szCs w:val="13"/>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The above-referenced disclosures related to the compensation of our named executive officers appear beginning at page 61 of this proxy statement.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Required Vote</w:t>
      </w:r>
    </w:p>
    <w:p>
      <w:pPr>
        <w:spacing w:after="0" w:line="168"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The approval, on an advisory (non-binding) basis,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93345</wp:posOffset>
            </wp:positionV>
            <wp:extent cx="3724275" cy="11734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724275" cy="11734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1464945</wp:posOffset>
            </wp:positionV>
            <wp:extent cx="1408430" cy="3333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15" w:name="page116"/>
    <w:bookmarkEnd w:id="115"/>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520"/>
        <w:spacing w:after="0"/>
        <w:rPr>
          <w:sz w:val="20"/>
          <w:szCs w:val="20"/>
          <w:color w:val="auto"/>
        </w:rPr>
      </w:pPr>
      <w:r>
        <w:rPr>
          <w:rFonts w:ascii="Arial" w:cs="Arial" w:eastAsia="Arial" w:hAnsi="Arial"/>
          <w:sz w:val="10"/>
          <w:szCs w:val="10"/>
          <w:b w:val="1"/>
          <w:bCs w:val="1"/>
          <w:color w:val="CCD9D9"/>
        </w:rPr>
        <w:t>STOCKHOLDER PROPOSALS AND DIRECTOR NOMINATIONS FOR THE 2022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STOCKHOLDER PROPOSALS AND DIRECTOR NOMINATIONS FOR THE 2022 ANNUAL MEETING</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3"/>
          <w:szCs w:val="13"/>
          <w:color w:val="auto"/>
        </w:rPr>
        <w:t>Stockholder proposals intended to be included in our proxy materials for the 2022 Annual Meeting of Stockholders ("2022 Annual Meeting") must be received by the deadline calculated in accordance with SEC Rule 14a-8, which is 120 days before the anniversary of the date of this year's proxy statement. This year's deadline is Friday, December 24, 2021. Such proposals must include the information required by SEC rules, and should be sent in writing by courier or certified mail to the Corporate Secretary of the Company at 320 Park Avenue, 29th Floor, New York, New York 10022. Stockholder proposals that are sent to any other person or location or by any other means may not be received in a timely manner and thus may be ineligible for inclusion.</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3"/>
          <w:szCs w:val="13"/>
          <w:color w:val="auto"/>
        </w:rPr>
        <w:t>Stockholders who intend to submit proposals at the 2022 Annual Meeting but whose proposals are not included in the proxy materials for the meeting, and stockholders who intend to submit nominations for directors at the 2022 Annual Meeting, are required to notify the Corporate Secretary of the Company (at the address above) of their proposal or nominations not less than 90 days, nor more than 120 days, before the anniversary of this year's Annual Meeting of Stockholders, in accordance with our by-laws. Such notices of proposals for the 2022 Annual Meeting must be delivered between February 16, 2022 and March 18, 2022. Special notice provisions apply under the by-laws if the date of the 2022 Annual Meeting is more than 30 days before or 70 days after the anniversary date of this year's Annual Meeting of Stockholders.</w:t>
      </w:r>
    </w:p>
    <w:p>
      <w:pPr>
        <w:spacing w:after="0" w:line="150" w:lineRule="exact"/>
        <w:rPr>
          <w:sz w:val="20"/>
          <w:szCs w:val="20"/>
          <w:color w:val="auto"/>
        </w:rPr>
      </w:pPr>
    </w:p>
    <w:p>
      <w:pPr>
        <w:ind w:right="120"/>
        <w:spacing w:after="0" w:line="236" w:lineRule="auto"/>
        <w:rPr>
          <w:sz w:val="20"/>
          <w:szCs w:val="20"/>
          <w:color w:val="auto"/>
        </w:rPr>
      </w:pPr>
      <w:r>
        <w:rPr>
          <w:rFonts w:ascii="Arial" w:cs="Arial" w:eastAsia="Arial" w:hAnsi="Arial"/>
          <w:sz w:val="13"/>
          <w:szCs w:val="13"/>
          <w:color w:val="auto"/>
        </w:rPr>
        <w:t xml:space="preserve">Any notice of proposed business or nomination, whether or not included in our proxy statement, must include the information required under our by-laws, including Section 2.11.4, in order for the matter to be eligible for consideration at the 2022 Annual Meeting. The presiding officer of the 2022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t>
      </w:r>
      <w:r>
        <w:rPr>
          <w:rFonts w:ascii="Arial" w:cs="Arial" w:eastAsia="Arial" w:hAnsi="Arial"/>
          <w:sz w:val="13"/>
          <w:szCs w:val="13"/>
          <w:i w:val="1"/>
          <w:iCs w:val="1"/>
          <w:color w:val="auto"/>
        </w:rPr>
        <w:t>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193040</wp:posOffset>
            </wp:positionV>
            <wp:extent cx="1408430" cy="3333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0800"/>
        <w:spacing w:after="0"/>
        <w:rPr>
          <w:sz w:val="20"/>
          <w:szCs w:val="20"/>
          <w:color w:val="auto"/>
        </w:rPr>
      </w:pPr>
      <w:r>
        <w:rPr>
          <w:rFonts w:ascii="Arial" w:cs="Arial" w:eastAsia="Arial" w:hAnsi="Arial"/>
          <w:sz w:val="13"/>
          <w:szCs w:val="13"/>
          <w:color w:val="FFFFFE"/>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16" w:name="page117"/>
    <w:bookmarkEnd w:id="116"/>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MISCELLANEOUS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MISCELLANEOUS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Delivery of Documents to Stockholders Sharing an Address</w:t>
      </w:r>
    </w:p>
    <w:p>
      <w:pPr>
        <w:spacing w:after="0" w:line="168"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If you are the beneficial owner, but not the record holder, of shares of our common stock, your broker, bank, trust or other nominee may only deliver one copy of this proxy statement and the 2020 Form 10-K, which serves as our Annual Report to Stockholders under Regulation 14A (the "2020 Annual Report"), to multiple stockholders who share an address unless that nominee has received contrary instructions from one or more of the stockholders. We will deliver promptly, upon written or oral request, a separate copy of this proxy statement and the 2020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the Investor Relations page of our website at https://ir.exlservice.com/.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479EFF"/>
        </w:rPr>
        <w:t>Electronic Access to Proxy Statement and Annual Report</w:t>
      </w:r>
    </w:p>
    <w:p>
      <w:pPr>
        <w:spacing w:after="0" w:line="168" w:lineRule="exact"/>
        <w:rPr>
          <w:sz w:val="20"/>
          <w:szCs w:val="20"/>
          <w:color w:val="auto"/>
        </w:rPr>
      </w:pPr>
    </w:p>
    <w:p>
      <w:pPr>
        <w:ind w:right="100"/>
        <w:spacing w:after="0" w:line="236" w:lineRule="auto"/>
        <w:rPr>
          <w:sz w:val="20"/>
          <w:szCs w:val="20"/>
          <w:color w:val="auto"/>
        </w:rPr>
      </w:pPr>
      <w:r>
        <w:rPr>
          <w:rFonts w:ascii="Arial" w:cs="Arial" w:eastAsia="Arial" w:hAnsi="Arial"/>
          <w:sz w:val="13"/>
          <w:szCs w:val="13"/>
          <w:color w:val="auto"/>
        </w:rPr>
        <w:t>This proxy statement and our 2020 Annual Report may be viewed on our website at www.exlservice.com and at www.proxyvote.com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1408430" cy="3333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180"/>
          </w:cols>
          <w:pgMar w:left="300" w:top="142" w:right="419" w:bottom="1440" w:gutter="0" w:footer="0" w:header="0"/>
        </w:sectPr>
      </w:pPr>
    </w:p>
    <w:bookmarkStart w:id="117" w:name="page118"/>
    <w:bookmarkEnd w:id="117"/>
    <w:p>
      <w:pPr>
        <w:ind w:left="2"/>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0420" cy="5003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ANNUAL MEETING Q&amp;A</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001379"/>
        </w:rPr>
        <w:t>ANNUAL MEETING Q&amp;A</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FF4000"/>
        </w:rPr>
        <w:t>WHO IS PROVIDING THIS PROXY STATEMENT?</w:t>
      </w:r>
    </w:p>
    <w:p>
      <w:pPr>
        <w:spacing w:after="0" w:line="168" w:lineRule="exact"/>
        <w:rPr>
          <w:sz w:val="20"/>
          <w:szCs w:val="20"/>
          <w:color w:val="auto"/>
        </w:rPr>
      </w:pPr>
    </w:p>
    <w:p>
      <w:pPr>
        <w:ind w:left="2" w:right="260"/>
        <w:spacing w:after="0" w:line="237" w:lineRule="auto"/>
        <w:rPr>
          <w:sz w:val="20"/>
          <w:szCs w:val="20"/>
          <w:color w:val="auto"/>
        </w:rPr>
      </w:pPr>
      <w:r>
        <w:rPr>
          <w:rFonts w:ascii="Arial" w:cs="Arial" w:eastAsia="Arial" w:hAnsi="Arial"/>
          <w:sz w:val="13"/>
          <w:szCs w:val="13"/>
          <w:color w:val="auto"/>
        </w:rPr>
        <w:t>This Proxy Statement is being furnished to you in connection with the solicitation by the board of directors of ExlService Holdings, Inc., a Delaware corporation ("us," "we," "our" or the "Company"), of proxies to be used at our 2021 Annual Meeting of Stockholders (the "Annual Meeting") to be held in virtual format only via live audio webcast at the website www.virtualshareholdermeeting.com/EXLS2021 on June 16, 2021 at 9:30 AM, Eastern Time, and any adjournments or postponements thereof.</w:t>
      </w:r>
    </w:p>
    <w:p>
      <w:pPr>
        <w:spacing w:after="0" w:line="13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FF4000"/>
        </w:rPr>
        <w:t>HOW ARE THE PROXY MATERIALS BEING MADE AVAILABLE?</w:t>
      </w:r>
    </w:p>
    <w:p>
      <w:pPr>
        <w:spacing w:after="0" w:line="168" w:lineRule="exact"/>
        <w:rPr>
          <w:sz w:val="20"/>
          <w:szCs w:val="20"/>
          <w:color w:val="auto"/>
        </w:rPr>
      </w:pPr>
    </w:p>
    <w:p>
      <w:pPr>
        <w:ind w:left="2" w:right="20"/>
        <w:spacing w:after="0" w:line="236" w:lineRule="auto"/>
        <w:rPr>
          <w:sz w:val="20"/>
          <w:szCs w:val="20"/>
          <w:color w:val="auto"/>
        </w:rPr>
      </w:pPr>
      <w:r>
        <w:rPr>
          <w:rFonts w:ascii="Arial" w:cs="Arial" w:eastAsia="Arial" w:hAnsi="Arial"/>
          <w:sz w:val="13"/>
          <w:szCs w:val="13"/>
          <w:color w:val="auto"/>
        </w:rPr>
        <w:t>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150" w:lineRule="exact"/>
        <w:rPr>
          <w:sz w:val="20"/>
          <w:szCs w:val="20"/>
          <w:color w:val="auto"/>
        </w:rPr>
      </w:pPr>
    </w:p>
    <w:p>
      <w:pPr>
        <w:ind w:left="2" w:right="240"/>
        <w:spacing w:after="0" w:line="239" w:lineRule="auto"/>
        <w:rPr>
          <w:sz w:val="20"/>
          <w:szCs w:val="20"/>
          <w:color w:val="auto"/>
        </w:rPr>
      </w:pPr>
      <w:r>
        <w:rPr>
          <w:rFonts w:ascii="Arial" w:cs="Arial" w:eastAsia="Arial" w:hAnsi="Arial"/>
          <w:sz w:val="13"/>
          <w:szCs w:val="13"/>
          <w:color w:val="auto"/>
        </w:rPr>
        <w:t>Our Notice of Annual Meeting, proxy statement and form of proxy card are each available at www.proxyvote.com. You may access these materials and provide your proxy by following the instructions provided in the Internet Notice.</w:t>
      </w:r>
    </w:p>
    <w:p>
      <w:pPr>
        <w:spacing w:after="0" w:line="13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FF4000"/>
        </w:rPr>
        <w:t>WHEN WILL THE INTERNET NOTICE BE SENT?</w:t>
      </w:r>
    </w:p>
    <w:p>
      <w:pPr>
        <w:spacing w:after="0" w:line="168" w:lineRule="exact"/>
        <w:rPr>
          <w:sz w:val="20"/>
          <w:szCs w:val="20"/>
          <w:color w:val="auto"/>
        </w:rPr>
      </w:pPr>
    </w:p>
    <w:p>
      <w:pPr>
        <w:ind w:left="2" w:right="100"/>
        <w:spacing w:after="0" w:line="239" w:lineRule="auto"/>
        <w:rPr>
          <w:sz w:val="20"/>
          <w:szCs w:val="20"/>
          <w:color w:val="auto"/>
        </w:rPr>
      </w:pPr>
      <w:r>
        <w:rPr>
          <w:rFonts w:ascii="Arial" w:cs="Arial" w:eastAsia="Arial" w:hAnsi="Arial"/>
          <w:sz w:val="13"/>
          <w:szCs w:val="13"/>
          <w:color w:val="auto"/>
        </w:rPr>
        <w:t>We anticipate the Internet Notice will be sent to stockholders on or about April 23, 2021. This proxy statement and the form of proxy relating to the Annual Meeting will be made available via the Internet to stockholders on or prior to the date that the Internet Notice is first sent.</w:t>
      </w:r>
    </w:p>
    <w:p>
      <w:pPr>
        <w:spacing w:after="0" w:line="13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FF4000"/>
        </w:rPr>
        <w:t>WHO CAN VOTE?</w:t>
      </w:r>
    </w:p>
    <w:p>
      <w:pPr>
        <w:spacing w:after="0" w:line="168" w:lineRule="exact"/>
        <w:rPr>
          <w:sz w:val="20"/>
          <w:szCs w:val="20"/>
          <w:color w:val="auto"/>
        </w:rPr>
      </w:pPr>
    </w:p>
    <w:p>
      <w:pPr>
        <w:ind w:left="2" w:right="80"/>
        <w:spacing w:after="0" w:line="237" w:lineRule="auto"/>
        <w:rPr>
          <w:sz w:val="20"/>
          <w:szCs w:val="20"/>
          <w:color w:val="auto"/>
        </w:rPr>
      </w:pPr>
      <w:r>
        <w:rPr>
          <w:rFonts w:ascii="Arial" w:cs="Arial" w:eastAsia="Arial" w:hAnsi="Arial"/>
          <w:sz w:val="13"/>
          <w:szCs w:val="13"/>
          <w:color w:val="auto"/>
        </w:rPr>
        <w:t>Only stockholders who own shares of our common stock at the close of business on April 19, 2021, the record date for the Annual Meeting, can vote at the Annual Meeting. As of the close of business on April 19, 2021, the record date, we had 33,479,956 shares of common stock outstanding and entitled to vote. Each holder of common stock is entitled to one vote for each share held as of the record date for the Annual Meeting.</w:t>
      </w:r>
    </w:p>
    <w:p>
      <w:pPr>
        <w:spacing w:after="0" w:line="13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FF4000"/>
        </w:rPr>
        <w:t>IS CUMULATIVE VOTING APPLICABLE IN THE ELECTION OF DIRECTORS?</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There is no cumulative voting in the election of directors.</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FF4000"/>
        </w:rPr>
        <w:t>HOW DO I VOTE MY SHARES?</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2"/>
          <w:szCs w:val="12"/>
          <w:color w:val="auto"/>
        </w:rPr>
        <w:t>If your shares are registered directly in your name with Computershare Trust Company, N.A., our transfer agent (which means you are a "stockholder of record"), you can vote your proxy by (i) Internet,</w:t>
      </w:r>
    </w:p>
    <w:p>
      <w:pPr>
        <w:spacing w:after="0" w:line="8" w:lineRule="exact"/>
        <w:rPr>
          <w:sz w:val="20"/>
          <w:szCs w:val="20"/>
          <w:color w:val="auto"/>
        </w:rPr>
      </w:pPr>
    </w:p>
    <w:p>
      <w:pPr>
        <w:ind w:left="2" w:right="400" w:hanging="2"/>
        <w:spacing w:after="0" w:line="239" w:lineRule="auto"/>
        <w:tabs>
          <w:tab w:leader="none" w:pos="178" w:val="left"/>
        </w:tabs>
        <w:numPr>
          <w:ilvl w:val="0"/>
          <w:numId w:val="96"/>
        </w:numPr>
        <w:rPr>
          <w:rFonts w:ascii="Arial" w:cs="Arial" w:eastAsia="Arial" w:hAnsi="Arial"/>
          <w:sz w:val="13"/>
          <w:szCs w:val="13"/>
          <w:color w:val="auto"/>
        </w:rPr>
      </w:pPr>
      <w:r>
        <w:rPr>
          <w:rFonts w:ascii="Arial" w:cs="Arial" w:eastAsia="Arial" w:hAnsi="Arial"/>
          <w:sz w:val="13"/>
          <w:szCs w:val="13"/>
          <w:color w:val="auto"/>
        </w:rPr>
        <w:t>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w:t>
      </w:r>
    </w:p>
    <w:p>
      <w:pPr>
        <w:spacing w:after="0" w:line="150" w:lineRule="exact"/>
        <w:rPr>
          <w:sz w:val="20"/>
          <w:szCs w:val="20"/>
          <w:color w:val="auto"/>
        </w:rPr>
      </w:pPr>
    </w:p>
    <w:p>
      <w:pPr>
        <w:ind w:left="2" w:right="340"/>
        <w:spacing w:after="0" w:line="239" w:lineRule="auto"/>
        <w:rPr>
          <w:sz w:val="20"/>
          <w:szCs w:val="20"/>
          <w:color w:val="auto"/>
        </w:rPr>
      </w:pPr>
      <w:r>
        <w:rPr>
          <w:rFonts w:ascii="Arial" w:cs="Arial" w:eastAsia="Arial" w:hAnsi="Arial"/>
          <w:sz w:val="13"/>
          <w:szCs w:val="13"/>
          <w:color w:val="auto"/>
        </w:rPr>
        <w:t>If you are the beneficial owner of shares held in the name of a brokerage, bank, trust or other nominee as a custodian (also referred to as shares held in "street name"), your broker, bank, trustee or nominee will provide you with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5762625</wp:posOffset>
            </wp:positionH>
            <wp:positionV relativeFrom="paragraph">
              <wp:posOffset>192405</wp:posOffset>
            </wp:positionV>
            <wp:extent cx="1408430" cy="3333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802"/>
        <w:spacing w:after="0"/>
        <w:rPr>
          <w:sz w:val="20"/>
          <w:szCs w:val="20"/>
          <w:color w:val="auto"/>
        </w:rPr>
      </w:pPr>
      <w:r>
        <w:rPr>
          <w:rFonts w:ascii="Arial" w:cs="Arial" w:eastAsia="Arial" w:hAnsi="Arial"/>
          <w:sz w:val="13"/>
          <w:szCs w:val="13"/>
          <w:color w:val="FFFFFE"/>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177405" cy="19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2"/>
          </w:cols>
          <w:pgMar w:left="298" w:top="142" w:right="299" w:bottom="1440" w:gutter="0" w:footer="0" w:header="0"/>
        </w:sectPr>
      </w:pPr>
    </w:p>
    <w:bookmarkStart w:id="118" w:name="page119"/>
    <w:bookmarkEnd w:id="118"/>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ANNUAL MEETING Q&amp;A</w:t>
      </w:r>
    </w:p>
    <w:p>
      <w:pPr>
        <w:spacing w:after="0" w:line="168"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color w:val="auto"/>
        </w:rPr>
        <w:t>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15, 2021.</w:t>
      </w:r>
    </w:p>
    <w:p>
      <w:pPr>
        <w:spacing w:after="0" w:line="128" w:lineRule="exact"/>
        <w:rPr>
          <w:sz w:val="20"/>
          <w:szCs w:val="20"/>
          <w:color w:val="auto"/>
        </w:rPr>
      </w:pPr>
    </w:p>
    <w:p>
      <w:pPr>
        <w:jc w:val="both"/>
        <w:ind w:right="160"/>
        <w:spacing w:after="0" w:line="237" w:lineRule="auto"/>
        <w:rPr>
          <w:sz w:val="20"/>
          <w:szCs w:val="20"/>
          <w:color w:val="auto"/>
        </w:rPr>
      </w:pPr>
      <w:r>
        <w:rPr>
          <w:rFonts w:ascii="Arial" w:cs="Arial" w:eastAsia="Arial" w:hAnsi="Arial"/>
          <w:sz w:val="13"/>
          <w:szCs w:val="13"/>
          <w:color w:val="auto"/>
        </w:rPr>
        <w:t>You also have the right to vote electronically at the Annual Meeting if you decide to attend. Our board of directors recommends that you vote by Internet, phone or mail even if you choose to attend the Annual Meeting. If you are a "stockholder of record," you may vote your shares electronically at the Annual Meeting. If you hold your shares in "street name," you must obtain a proxy from your broker, bank, trustee or nominee giving you the right to vote the shares electronically at the Annual Meeting or your vote at the Annual Meeting will not be counted.</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You will not be able to vote your shares unless you use one of the methods described above to designate a proxy or you vote electronically at the Annual Meeting.</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CAN I REVOKE MY PROXY?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You can revoke your proxy at any time before it is exercised in any of the following ways:</w:t>
      </w:r>
    </w:p>
    <w:p>
      <w:pPr>
        <w:spacing w:after="0" w:line="152" w:lineRule="exact"/>
        <w:rPr>
          <w:sz w:val="20"/>
          <w:szCs w:val="20"/>
          <w:color w:val="auto"/>
        </w:rPr>
      </w:pPr>
    </w:p>
    <w:p>
      <w:pPr>
        <w:ind w:left="780" w:hanging="393"/>
        <w:spacing w:after="0"/>
        <w:tabs>
          <w:tab w:leader="none" w:pos="780" w:val="left"/>
        </w:tabs>
        <w:numPr>
          <w:ilvl w:val="0"/>
          <w:numId w:val="97"/>
        </w:numPr>
        <w:rPr>
          <w:rFonts w:ascii="Arial" w:cs="Arial" w:eastAsia="Arial" w:hAnsi="Arial"/>
          <w:sz w:val="13"/>
          <w:szCs w:val="13"/>
          <w:color w:val="FF4000"/>
        </w:rPr>
      </w:pPr>
      <w:r>
        <w:rPr>
          <w:rFonts w:ascii="Arial" w:cs="Arial" w:eastAsia="Arial" w:hAnsi="Arial"/>
          <w:sz w:val="13"/>
          <w:szCs w:val="13"/>
          <w:color w:val="auto"/>
        </w:rPr>
        <w:t>by voting at the Annual Meeting;</w:t>
      </w:r>
    </w:p>
    <w:p>
      <w:pPr>
        <w:spacing w:after="0" w:line="152" w:lineRule="exact"/>
        <w:rPr>
          <w:rFonts w:ascii="Arial" w:cs="Arial" w:eastAsia="Arial" w:hAnsi="Arial"/>
          <w:sz w:val="13"/>
          <w:szCs w:val="13"/>
          <w:color w:val="FF4000"/>
        </w:rPr>
      </w:pPr>
    </w:p>
    <w:p>
      <w:pPr>
        <w:ind w:left="780" w:hanging="393"/>
        <w:spacing w:after="0"/>
        <w:tabs>
          <w:tab w:leader="none" w:pos="780" w:val="left"/>
        </w:tabs>
        <w:numPr>
          <w:ilvl w:val="0"/>
          <w:numId w:val="97"/>
        </w:numPr>
        <w:rPr>
          <w:rFonts w:ascii="Arial" w:cs="Arial" w:eastAsia="Arial" w:hAnsi="Arial"/>
          <w:sz w:val="13"/>
          <w:szCs w:val="13"/>
          <w:color w:val="FF4000"/>
        </w:rPr>
      </w:pPr>
      <w:r>
        <w:rPr>
          <w:rFonts w:ascii="Arial" w:cs="Arial" w:eastAsia="Arial" w:hAnsi="Arial"/>
          <w:sz w:val="13"/>
          <w:szCs w:val="13"/>
          <w:color w:val="auto"/>
        </w:rPr>
        <w:t>by submitting written notice of revocation to the inspector of elections prior to the Annual Meeting; or</w:t>
      </w:r>
    </w:p>
    <w:p>
      <w:pPr>
        <w:spacing w:after="0" w:line="142" w:lineRule="exact"/>
        <w:rPr>
          <w:rFonts w:ascii="Arial" w:cs="Arial" w:eastAsia="Arial" w:hAnsi="Arial"/>
          <w:sz w:val="13"/>
          <w:szCs w:val="13"/>
          <w:color w:val="FF4000"/>
        </w:rPr>
      </w:pPr>
    </w:p>
    <w:p>
      <w:pPr>
        <w:ind w:left="780" w:hanging="393"/>
        <w:spacing w:after="0"/>
        <w:tabs>
          <w:tab w:leader="none" w:pos="780" w:val="left"/>
        </w:tabs>
        <w:numPr>
          <w:ilvl w:val="0"/>
          <w:numId w:val="97"/>
        </w:numPr>
        <w:rPr>
          <w:rFonts w:ascii="Arial" w:cs="Arial" w:eastAsia="Arial" w:hAnsi="Arial"/>
          <w:sz w:val="13"/>
          <w:szCs w:val="13"/>
          <w:color w:val="FF4000"/>
        </w:rPr>
      </w:pPr>
      <w:r>
        <w:rPr>
          <w:rFonts w:ascii="Arial" w:cs="Arial" w:eastAsia="Arial" w:hAnsi="Arial"/>
          <w:sz w:val="13"/>
          <w:szCs w:val="13"/>
          <w:color w:val="auto"/>
        </w:rPr>
        <w:t>by submitting another properly executed proxy of a later date to the inspector of elections prior to the Annual Meeting.</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HOW IS A QUORUM ESTABLISHED AT THE ANNUAL MEETING?</w:t>
      </w:r>
    </w:p>
    <w:p>
      <w:pPr>
        <w:spacing w:after="0" w:line="168" w:lineRule="exact"/>
        <w:rPr>
          <w:sz w:val="20"/>
          <w:szCs w:val="20"/>
          <w:color w:val="auto"/>
        </w:rPr>
      </w:pPr>
    </w:p>
    <w:p>
      <w:pPr>
        <w:ind w:right="420"/>
        <w:spacing w:after="0" w:line="239" w:lineRule="auto"/>
        <w:rPr>
          <w:sz w:val="20"/>
          <w:szCs w:val="20"/>
          <w:color w:val="auto"/>
        </w:rPr>
      </w:pPr>
      <w:r>
        <w:rPr>
          <w:rFonts w:ascii="Arial" w:cs="Arial" w:eastAsia="Arial" w:hAnsi="Arial"/>
          <w:sz w:val="13"/>
          <w:szCs w:val="13"/>
          <w:color w:val="auto"/>
        </w:rPr>
        <w:t>A quorum, which is a majority of the issued and outstanding shares of our common stock as of the record date of April 19, 2021, must be present, in person or by proxy, to conduct business at the Annual Meeting. A quorum is calculated based on the number of shares represented by the stockholders attending the Annual Meeting in person and by their proxy holders.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If you indicate an abstention as your voting preference for all matters to be acted upon at the Annual Meeting, your shares will be counted toward a quorum but they will not be voted on any matter.</w:t>
      </w:r>
    </w:p>
    <w:p>
      <w:pPr>
        <w:spacing w:after="0"/>
        <w:rPr>
          <w:sz w:val="20"/>
          <w:szCs w:val="20"/>
          <w:color w:val="auto"/>
        </w:rPr>
      </w:pPr>
      <w:r>
        <w:rPr>
          <w:rFonts w:ascii="Arial" w:cs="Arial" w:eastAsia="Arial" w:hAnsi="Arial"/>
          <w:sz w:val="13"/>
          <w:szCs w:val="13"/>
          <w:color w:val="auto"/>
        </w:rPr>
        <w:t>Virtual attendance at our Annual Meeting constitutes presence in person for purposes of quorum at the Annual Meeting.</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WHAT IS A "BROKER NON-VOTE"</w:t>
      </w:r>
    </w:p>
    <w:p>
      <w:pPr>
        <w:spacing w:after="0" w:line="168"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vote your shares on "non-routine" proposals, which include, at the Annual Meeting, the election of directors and approval on an advisory (non-binding) basis of the compensation of our named executive officers. As a result, a "broker non-vote" occurs. However, without your instructions, your broker has discretionary authority to vote your shares with respect to "routine" proposals only, which include, at the Annual Meeting, the ratification of the appointment of our independent registered public accounting firm.</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HOW MANY VOTES ARE NEEDED TO APPROVE EACH PROPOSAL AND WHAT IS THE EFFECT OF ABSTENTIONS AND/OR BROKER NON-VOTES?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Proposal 1: Election of Directors</w:t>
      </w:r>
    </w:p>
    <w:p>
      <w:pPr>
        <w:spacing w:after="0" w:line="168"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Under our Fifth Amended and Restated By-Laws (our "by-laws"), directors who are standing for election at the Annual Meeting will be elected by the affirmative vote of a majority of votes cast (meaning the number of shares voted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08430" cy="3333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19" w:name="page120"/>
    <w:bookmarkEnd w:id="119"/>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100"/>
        <w:spacing w:after="0"/>
        <w:rPr>
          <w:sz w:val="20"/>
          <w:szCs w:val="20"/>
          <w:color w:val="auto"/>
        </w:rPr>
      </w:pPr>
      <w:r>
        <w:rPr>
          <w:rFonts w:ascii="Arial" w:cs="Arial" w:eastAsia="Arial" w:hAnsi="Arial"/>
          <w:sz w:val="10"/>
          <w:szCs w:val="10"/>
          <w:b w:val="1"/>
          <w:bCs w:val="1"/>
          <w:color w:val="CCD9D9"/>
        </w:rPr>
        <w:t>ANNUAL MEETING Q&amp;A</w:t>
      </w:r>
    </w:p>
    <w:p>
      <w:pPr>
        <w:spacing w:after="0" w:line="168"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nominee must exceed the number of shares voted "against" such nominee) by stockholders in person or represented by proxy and entitled to vote at the Annual Meeting. If any incumbent nominee for director receives a greater number of votes "against" his or her election than votes "for" such election, our by-laws provide that such person will tender to the board of directors his or her resignation as a director. You may cast your vote in favor of electing all of the nominees as directors, against one or more nominees, or abstain from voting your shares. For purposes of the vote on Proposal 1, abstentions and broker non-votes will have no effect on the results of the vote. Virtual attendance at our Annual Meeting will constitute presence in person for purposes of voting at the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Proposals</w:t>
      </w:r>
    </w:p>
    <w:p>
      <w:pPr>
        <w:spacing w:after="0" w:line="168" w:lineRule="exact"/>
        <w:rPr>
          <w:sz w:val="20"/>
          <w:szCs w:val="20"/>
          <w:color w:val="auto"/>
        </w:rPr>
      </w:pPr>
    </w:p>
    <w:p>
      <w:pPr>
        <w:ind w:right="40"/>
        <w:spacing w:after="0" w:line="235" w:lineRule="auto"/>
        <w:rPr>
          <w:sz w:val="20"/>
          <w:szCs w:val="20"/>
          <w:color w:val="auto"/>
        </w:rPr>
      </w:pPr>
      <w:r>
        <w:rPr>
          <w:rFonts w:ascii="Arial" w:cs="Arial" w:eastAsia="Arial" w:hAnsi="Arial"/>
          <w:sz w:val="13"/>
          <w:szCs w:val="13"/>
          <w:color w:val="auto"/>
        </w:rPr>
        <w:t>The ratification of the appointment of our independent registered public accounting firm, the advisory (non-binding) approval of the compensation of our named executive officers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 2 (ratification of the appointment of our independent registered public accounting firm), Proposal 3 (advisory (non-binding) vote on executive compensation), and such other items properly presented and to be acted upon at the Annual Meeting, abstentions will have the effect of a vote against these proposals. Broker non-votes will have the effect of a vote against Proposal 3, but because Proposal 2 is a "routine" proposal where brokers have discretionary authority to vote in the absence of instruction, there will be no broker non-votes.</w:t>
      </w:r>
    </w:p>
    <w:p>
      <w:pPr>
        <w:spacing w:after="0" w:line="153"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If you submit your proxy, but do not mark your voting preference, the proxy holders will vote your shares (i) FOR the election of all six nominees for director, (ii) FOR the ratification of the appointment of our independent registered public accounting firm, (iii) FOR the approval on an advisory (non-binding) basis of the compensation of our named executive officers, and (iv) as described below, in the judgment of the proxy holder on any other matters properly presented at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ARE THERE OTHER MATTERS TO BE ACTED UPON AT THE MEETING?</w:t>
      </w:r>
    </w:p>
    <w:p>
      <w:pPr>
        <w:spacing w:after="0" w:line="168" w:lineRule="exact"/>
        <w:rPr>
          <w:sz w:val="20"/>
          <w:szCs w:val="20"/>
          <w:color w:val="auto"/>
        </w:rPr>
      </w:pPr>
    </w:p>
    <w:p>
      <w:pPr>
        <w:ind w:right="60"/>
        <w:spacing w:after="0" w:line="237" w:lineRule="auto"/>
        <w:rPr>
          <w:sz w:val="20"/>
          <w:szCs w:val="20"/>
          <w:color w:val="auto"/>
        </w:rPr>
      </w:pPr>
      <w:r>
        <w:rPr>
          <w:rFonts w:ascii="Arial" w:cs="Arial" w:eastAsia="Arial" w:hAnsi="Arial"/>
          <w:sz w:val="13"/>
          <w:szCs w:val="13"/>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WHAT ABOUT ADJOURNMENTS AND POSTPONEMENTS?</w:t>
      </w:r>
    </w:p>
    <w:p>
      <w:pPr>
        <w:spacing w:after="0" w:line="168" w:lineRule="exact"/>
        <w:rPr>
          <w:sz w:val="20"/>
          <w:szCs w:val="20"/>
          <w:color w:val="auto"/>
        </w:rPr>
      </w:pPr>
    </w:p>
    <w:p>
      <w:pPr>
        <w:ind w:right="460"/>
        <w:spacing w:after="0" w:line="239" w:lineRule="auto"/>
        <w:rPr>
          <w:sz w:val="20"/>
          <w:szCs w:val="20"/>
          <w:color w:val="auto"/>
        </w:rPr>
      </w:pPr>
      <w:r>
        <w:rPr>
          <w:rFonts w:ascii="Arial" w:cs="Arial" w:eastAsia="Arial" w:hAnsi="Arial"/>
          <w:sz w:val="13"/>
          <w:szCs w:val="13"/>
          <w:color w:val="auto"/>
        </w:rPr>
        <w:t>Any action on the items of business described above may be considered at the Annual Meeting at the time and on the date specified above or at any time and date to which the Annual Meeting is properly adjourned or postponed.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WHO PAYS FOR SOLICITATION OF PROXIES?</w:t>
      </w:r>
    </w:p>
    <w:p>
      <w:pPr>
        <w:spacing w:after="0" w:line="168" w:lineRule="exact"/>
        <w:rPr>
          <w:sz w:val="20"/>
          <w:szCs w:val="20"/>
          <w:color w:val="auto"/>
        </w:rPr>
      </w:pPr>
    </w:p>
    <w:p>
      <w:pPr>
        <w:ind w:right="300"/>
        <w:spacing w:after="0" w:line="239" w:lineRule="auto"/>
        <w:rPr>
          <w:sz w:val="20"/>
          <w:szCs w:val="20"/>
          <w:color w:val="auto"/>
        </w:rPr>
      </w:pPr>
      <w:r>
        <w:rPr>
          <w:rFonts w:ascii="Arial" w:cs="Arial" w:eastAsia="Arial" w:hAnsi="Arial"/>
          <w:sz w:val="13"/>
          <w:szCs w:val="13"/>
          <w:color w:val="auto"/>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HOW CAN I ATTEND THE ANNUAL MEETING AND WHY IS THE COMPANY HOLDING THE ANNUAL MEETING IN A VIRTUAL ONLY FORMAT?</w:t>
      </w:r>
    </w:p>
    <w:p>
      <w:pPr>
        <w:spacing w:after="0" w:line="168" w:lineRule="exact"/>
        <w:rPr>
          <w:sz w:val="20"/>
          <w:szCs w:val="20"/>
          <w:color w:val="auto"/>
        </w:rPr>
      </w:pPr>
    </w:p>
    <w:p>
      <w:pPr>
        <w:ind w:right="240"/>
        <w:spacing w:after="0" w:line="239" w:lineRule="auto"/>
        <w:rPr>
          <w:sz w:val="20"/>
          <w:szCs w:val="20"/>
          <w:color w:val="auto"/>
        </w:rPr>
      </w:pPr>
      <w:r>
        <w:rPr>
          <w:rFonts w:ascii="Arial" w:cs="Arial" w:eastAsia="Arial" w:hAnsi="Arial"/>
          <w:sz w:val="13"/>
          <w:szCs w:val="13"/>
          <w:color w:val="auto"/>
        </w:rPr>
        <w:t>We have monitored the pandemic closely and have determined that holding an in-person annual meeting could pose a risk to the health and safety of our stockholders, employees, and directors, and therefore we will instead hold a virtual Annual Meeting rather than a meeting in New York or at any physical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192405</wp:posOffset>
            </wp:positionV>
            <wp:extent cx="1408430" cy="3333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800"/>
        <w:spacing w:after="0"/>
        <w:rPr>
          <w:sz w:val="20"/>
          <w:szCs w:val="20"/>
          <w:color w:val="auto"/>
        </w:rPr>
      </w:pPr>
      <w:r>
        <w:rPr>
          <w:rFonts w:ascii="Arial" w:cs="Arial" w:eastAsia="Arial" w:hAnsi="Arial"/>
          <w:sz w:val="13"/>
          <w:szCs w:val="13"/>
          <w:color w:val="FFFFFE"/>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20" w:name="page121"/>
    <w:bookmarkEnd w:id="120"/>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b w:val="1"/>
          <w:bCs w:val="1"/>
          <w:color w:val="CCD9D9"/>
        </w:rPr>
        <w:t>ANNUAL MEETING Q&amp;A</w:t>
      </w:r>
    </w:p>
    <w:p>
      <w:pPr>
        <w:spacing w:after="0" w:line="168" w:lineRule="exact"/>
        <w:rPr>
          <w:sz w:val="20"/>
          <w:szCs w:val="20"/>
          <w:color w:val="auto"/>
        </w:rPr>
      </w:pPr>
    </w:p>
    <w:p>
      <w:pPr>
        <w:ind w:right="80"/>
        <w:spacing w:after="0" w:line="235" w:lineRule="auto"/>
        <w:rPr>
          <w:sz w:val="20"/>
          <w:szCs w:val="20"/>
          <w:color w:val="auto"/>
        </w:rPr>
      </w:pPr>
      <w:r>
        <w:rPr>
          <w:rFonts w:ascii="Arial" w:cs="Arial" w:eastAsia="Arial" w:hAnsi="Arial"/>
          <w:sz w:val="13"/>
          <w:szCs w:val="13"/>
          <w:color w:val="auto"/>
        </w:rPr>
        <w:t>To attend and participate in the Virtual Annual Meeting, stockholders will need to access the live audio webcast of the meeting. To do so, stockholders of record will need to visit www.virtualshareholdermeeting.com/EXLS2021 and use their 16-digit Control Number provided in the Internet Notice to log in to this website, and beneficial owners of shares held in street name will need to follow the instructions provided by the broker, bank or other nominee that holds their shares. We encourage stockholders to log in to this website and access the webcast before the Annual Meeting's start time. Further instructions on how to attend, participate in and vote at the Annual Meeting, including how to demonstrate your ownership of our stock as of the record date, are available at www.virtualshareholdermeeting.com/EXLS2021. Please note you will only be able to attend, participate and vote in the meeting using this website. All references to attending the Annual Meeting "in person" in this Proxy Statement shall mean attending the live webcast at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HOW DO I SUBMIT QUESTIONS AT THE ANNUAL MEETING?</w:t>
      </w:r>
    </w:p>
    <w:p>
      <w:pPr>
        <w:spacing w:after="0" w:line="168"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We are committed to ensuring that our stockholders will be afforded the same rights and opportunities to participate in a virtual Annual Meeting as they would at a meeting held at a physical location. You will be able to submit questions during our Annual Meeting by visiting www.virtualshareholdermeeting.com/EXLS2021. We will try to answer as many stockholder-submitted questions as time permits that comply with the meeting rules of conduct as determined by the chairman of the meeting. However, we reserve the right to edit profanity or other inappropriate language, or to exclude questions that are not pertinent to meeting matters or that are otherwise inappropriate. If we receive substantially similar questions, we will group such questions together and provide a single response to avoid repetition.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WILL THE ANNUAL MEETING BE RECORDED?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A recording of the Annual Meeting will be available online at http://ir.exlservice.com for approximately 12 months following the meeting date.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WHAT IF I HAVE TECHNICAL DIFFICULTIES OR TROUBLE ACCESSING THE VIRTUAL ANNUAL MEETING?</w:t>
      </w:r>
    </w:p>
    <w:p>
      <w:pPr>
        <w:spacing w:after="0" w:line="168" w:lineRule="exact"/>
        <w:rPr>
          <w:sz w:val="20"/>
          <w:szCs w:val="20"/>
          <w:color w:val="auto"/>
        </w:rPr>
      </w:pPr>
    </w:p>
    <w:p>
      <w:pPr>
        <w:ind w:right="600"/>
        <w:spacing w:after="0" w:line="239" w:lineRule="auto"/>
        <w:rPr>
          <w:sz w:val="20"/>
          <w:szCs w:val="20"/>
          <w:color w:val="auto"/>
        </w:rPr>
      </w:pPr>
      <w:r>
        <w:rPr>
          <w:rFonts w:ascii="Arial" w:cs="Arial" w:eastAsia="Arial" w:hAnsi="Arial"/>
          <w:sz w:val="13"/>
          <w:szCs w:val="13"/>
          <w:color w:val="auto"/>
        </w:rPr>
        <w:t>We will have technicians ready to assist you with any technical difficulties you may have accessing the live webcast of the Annual Meeting. A technical support phone number will be posted on www.virtualshareholdermeeting.com/EXLS2021 that you may call if you experience technical difficulties during the check-in process or during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WHAT IF I HAVE FURTHER QUESTIONS?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If you have any further questions about voting your shares or attending the Annual Meeting, please call our Investor Relations Department at (212) 624-5913.</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FF4000"/>
        </w:rPr>
        <w:t>IMPORTANT</w:t>
      </w:r>
    </w:p>
    <w:p>
      <w:pPr>
        <w:spacing w:after="0" w:line="168"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Please promptly vote and submit your proxy before the Annual Meeting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1408430" cy="3333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77405" cy="190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280"/>
          </w:cols>
          <w:pgMar w:left="300" w:top="142" w:right="319" w:bottom="1440" w:gutter="0" w:footer="0" w:header="0"/>
        </w:sectPr>
      </w:pPr>
    </w:p>
    <w:bookmarkStart w:id="121" w:name="page122"/>
    <w:bookmarkEnd w:id="121"/>
    <w:p>
      <w:pPr>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70420" cy="50038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0420" cy="50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CCD9D9"/>
        </w:rPr>
        <w:t>OTHER MATTERS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1379"/>
        </w:rPr>
        <w:t>OTHER MATTERS</w:t>
      </w:r>
    </w:p>
    <w:p>
      <w:pPr>
        <w:spacing w:after="0" w:line="180"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Whether or not you intend to be present at the Annual Meeting, we urge you to submit your signed proxy promptly.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2192655" cy="7594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92655" cy="75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Ajay Ayyappan</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Senior Vice President, General Counsel and Corporate Secretary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April 23, 2021</w:t>
      </w:r>
    </w:p>
    <w:p>
      <w:pPr>
        <w:spacing w:after="0" w:line="136"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b w:val="1"/>
          <w:bCs w:val="1"/>
          <w:color w:val="auto"/>
        </w:rPr>
        <w:t>We will furnish without charge to each person whose proxy is being solicited, upon the written request of any such person, a copy of the 2020 Form 10-K, as filed with the SEC, as well as copies of exhibits to the 2020 Form 10-K, but for copies of exhibits will charge a reasonable fee per page to any requesting stockholder. Stockholders may make such request in writing to ExlService Holdings, Inc., 320 Park Avenue, 29th Floor, New York, New York 10022, Attention: Investor Relations. The request must include a representation by the stockholder that as of April 19, 2021, the stockholder was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191135</wp:posOffset>
            </wp:positionV>
            <wp:extent cx="1408430" cy="3333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408430" cy="33337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0800"/>
        <w:spacing w:after="0"/>
        <w:rPr>
          <w:sz w:val="20"/>
          <w:szCs w:val="20"/>
          <w:color w:val="auto"/>
        </w:rPr>
      </w:pPr>
      <w:r>
        <w:rPr>
          <w:rFonts w:ascii="Arial" w:cs="Arial" w:eastAsia="Arial" w:hAnsi="Arial"/>
          <w:sz w:val="13"/>
          <w:szCs w:val="13"/>
          <w:color w:val="FFFFFE"/>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258445</wp:posOffset>
            </wp:positionV>
            <wp:extent cx="7177405" cy="190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7405" cy="19050"/>
                    </a:xfrm>
                    <a:prstGeom prst="rect">
                      <a:avLst/>
                    </a:prstGeom>
                    <a:noFill/>
                  </pic:spPr>
                </pic:pic>
              </a:graphicData>
            </a:graphic>
          </wp:anchor>
        </w:drawing>
      </w:r>
    </w:p>
    <w:p>
      <w:pPr>
        <w:sectPr>
          <w:pgSz w:w="11900" w:h="16838" w:orient="portrait"/>
          <w:cols w:equalWidth="0" w:num="1">
            <w:col w:w="11300"/>
          </w:cols>
          <w:pgMar w:left="300" w:top="142" w:right="299" w:bottom="1440" w:gutter="0" w:footer="0" w:header="0"/>
        </w:sectPr>
      </w:pPr>
    </w:p>
    <w:bookmarkStart w:id="122" w:name="page123"/>
    <w:bookmarkEnd w:id="122"/>
    <w:p>
      <w:pPr>
        <w:spacing w:after="0"/>
        <w:rPr>
          <w:rFonts w:ascii="Arial" w:cs="Arial" w:eastAsia="Arial" w:hAnsi="Arial"/>
          <w:sz w:val="12"/>
          <w:szCs w:val="12"/>
          <w:u w:val="single" w:color="auto"/>
          <w:color w:val="0000EE"/>
        </w:rPr>
      </w:pPr>
      <w:hyperlink w:anchor="page8">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177405" cy="745172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7405" cy="7451725"/>
                    </a:xfrm>
                    <a:prstGeom prst="rect">
                      <a:avLst/>
                    </a:prstGeom>
                    <a:noFill/>
                  </pic:spPr>
                </pic:pic>
              </a:graphicData>
            </a:graphic>
          </wp:anchor>
        </w:drawing>
      </w:r>
    </w:p>
    <w:p>
      <w:pPr>
        <w:sectPr>
          <w:pgSz w:w="11900" w:h="16838" w:orient="portrait"/>
          <w:cols w:equalWidth="0" w:num="1">
            <w:col w:w="10159"/>
          </w:cols>
          <w:pgMar w:left="300" w:top="142" w:right="1440" w:bottom="1440" w:gutter="0" w:footer="0" w:header="0"/>
        </w:sectPr>
      </w:pPr>
    </w:p>
    <w:bookmarkStart w:id="123" w:name="page124"/>
    <w:bookmarkEnd w:id="1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95250</wp:posOffset>
            </wp:positionV>
            <wp:extent cx="7214870" cy="93446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7214870" cy="9344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o"/>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o"/>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o"/>
      <w:numFmt w:val="bullet"/>
      <w:start w:val="1"/>
    </w:lvl>
    <w:lvl w:ilvl="1">
      <w:lvlJc w:val="left"/>
      <w:lvlText w:val="(%2)"/>
      <w:numFmt w:val="decimal"/>
      <w:start w:val="1"/>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
      <w:numFmt w:val="bullet"/>
      <w:start w:val="1"/>
    </w:lvl>
    <w:lvl w:ilvl="1">
      <w:lvlJc w:val="left"/>
      <w:lvlText w:val="\endash "/>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lvl w:ilvl="1">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lvl w:ilvl="1">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lvl w:ilvl="1">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1)"/>
      <w:numFmt w:val="decimal"/>
      <w:start w:val="1"/>
    </w:lvl>
  </w:abstractNum>
  <w:abstractNum w:abstractNumId="64">
    <w:nsid w:val="60B6DF70"/>
    <w:multiLevelType w:val="hybridMultilevel"/>
    <w:lvl w:ilvl="0">
      <w:lvlJc w:val="left"/>
      <w:lvlText w:val="(%1)"/>
      <w:numFmt w:val="decimal"/>
      <w:start w:val="1"/>
    </w:lvl>
    <w:lvl w:ilvl="1">
      <w:lvlJc w:val="left"/>
      <w:lvlText w:val="•"/>
      <w:numFmt w:val="bullet"/>
      <w:start w:val="1"/>
    </w:lvl>
    <w:lvl w:ilvl="2">
      <w:lvlJc w:val="left"/>
      <w:lvlText w:val="\endash "/>
      <w:numFmt w:val="bullet"/>
      <w:start w:val="1"/>
    </w:lvl>
  </w:abstractNum>
  <w:abstractNum w:abstractNumId="65">
    <w:nsid w:val="6A5EE64"/>
    <w:multiLevelType w:val="hybridMultilevel"/>
    <w:lvl w:ilvl="0">
      <w:lvlJc w:val="left"/>
      <w:lvlText w:val="\endash "/>
      <w:numFmt w:val="bullet"/>
      <w:start w:val="1"/>
    </w:lvl>
  </w:abstractNum>
  <w:abstractNum w:abstractNumId="66">
    <w:nsid w:val="14330624"/>
    <w:multiLevelType w:val="hybridMultilevel"/>
    <w:lvl w:ilvl="0">
      <w:lvlJc w:val="left"/>
      <w:lvlText w:val="\endash "/>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decimal"/>
      <w:start w:val="5"/>
    </w:lvl>
  </w:abstractNum>
  <w:abstractNum w:abstractNumId="70">
    <w:nsid w:val="100F59DC"/>
    <w:multiLevelType w:val="hybridMultilevel"/>
    <w:lvl w:ilvl="0">
      <w:lvlJc w:val="left"/>
      <w:lvlText w:val="(%1)"/>
      <w:numFmt w:val="decimal"/>
      <w:start w:val="10"/>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1)"/>
      <w:numFmt w:val="decimal"/>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decimal"/>
      <w:start w:val="1"/>
    </w:lvl>
    <w:lvl w:ilvl="1">
      <w:lvlJc w:val="left"/>
      <w:lvlText w:val="(%2)"/>
      <w:numFmt w:val="lowerLetter"/>
      <w:start w:val="1"/>
    </w:lvl>
  </w:abstractNum>
  <w:abstractNum w:abstractNumId="80">
    <w:nsid w:val="3222E7CD"/>
    <w:multiLevelType w:val="hybridMultilevel"/>
    <w:lvl w:ilvl="0">
      <w:lvlJc w:val="left"/>
      <w:lvlText w:val="%1)"/>
      <w:numFmt w:val="decimal"/>
      <w:start w:val="1"/>
    </w:lvl>
  </w:abstractNum>
  <w:abstractNum w:abstractNumId="81">
    <w:nsid w:val="74DE0EE3"/>
    <w:multiLevelType w:val="hybridMultilevel"/>
    <w:lvl w:ilvl="0">
      <w:lvlJc w:val="left"/>
      <w:lvlText w:val="(%1)"/>
      <w:numFmt w:val="decimal"/>
      <w:start w:val="2"/>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1)"/>
      <w:numFmt w:val="lowerLetter"/>
      <w:start w:val="26"/>
    </w:lvl>
  </w:abstractNum>
  <w:abstractNum w:abstractNumId="84">
    <w:nsid w:val="46B7D447"/>
    <w:multiLevelType w:val="hybridMultilevel"/>
    <w:lvl w:ilvl="0">
      <w:lvlJc w:val="left"/>
      <w:lvlText w:val="(%1)"/>
      <w:numFmt w:val="lowerRoman"/>
      <w:start w:val="2"/>
    </w:lvl>
  </w:abstractNum>
  <w:abstractNum w:abstractNumId="85">
    <w:nsid w:val="4A2AC315"/>
    <w:multiLevelType w:val="hybridMultilevel"/>
    <w:lvl w:ilvl="0">
      <w:lvlJc w:val="left"/>
      <w:lvlText w:val="(%1)"/>
      <w:numFmt w:val="decimal"/>
      <w:start w:val="1"/>
    </w:lvl>
  </w:abstractNum>
  <w:abstractNum w:abstractNumId="86">
    <w:nsid w:val="39EE015C"/>
    <w:multiLevelType w:val="hybridMultilevel"/>
    <w:lvl w:ilvl="0">
      <w:lvlJc w:val="left"/>
      <w:lvlText w:val="(%1)"/>
      <w:numFmt w:val="lowerRoman"/>
      <w:start w:val="2"/>
    </w:lvl>
  </w:abstractNum>
  <w:abstractNum w:abstractNumId="87">
    <w:nsid w:val="57FC4FBB"/>
    <w:multiLevelType w:val="hybridMultilevel"/>
    <w:lvl w:ilvl="0">
      <w:lvlJc w:val="left"/>
      <w:lvlText w:val="(%1)"/>
      <w:numFmt w:val="lowerRoman"/>
      <w:start w:val="1"/>
    </w:lvl>
  </w:abstractNum>
  <w:abstractNum w:abstractNumId="88">
    <w:nsid w:val="CC1016F"/>
    <w:multiLevelType w:val="hybridMultilevel"/>
    <w:lvl w:ilvl="0">
      <w:lvlJc w:val="left"/>
      <w:lvlText w:val="(%1)"/>
      <w:numFmt w:val="decimal"/>
      <w:start w:val="1"/>
    </w:lvl>
  </w:abstractNum>
  <w:abstractNum w:abstractNumId="89">
    <w:nsid w:val="43F18422"/>
    <w:multiLevelType w:val="hybridMultilevel"/>
    <w:lvl w:ilvl="0">
      <w:lvlJc w:val="left"/>
      <w:lvlText w:val="(%1)"/>
      <w:numFmt w:val="decimal"/>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1)"/>
      <w:numFmt w:val="lowerRoman"/>
      <w:start w:val="2"/>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2021-04-23T15:41:32Z</dcterms:created>
  <dcterms:modified xsi:type="dcterms:W3CDTF">2021-04-23T15:41:32Z</dcterms:modified>
</cp:coreProperties>
</file>