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9"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52" w:lineRule="exact"/>
        <w:rPr>
          <w:sz w:val="24"/>
          <w:szCs w:val="24"/>
          <w:color w:val="auto"/>
        </w:rPr>
      </w:pPr>
    </w:p>
    <w:p>
      <w:pPr>
        <w:ind w:left="3240"/>
        <w:spacing w:after="0"/>
        <w:rPr>
          <w:sz w:val="20"/>
          <w:szCs w:val="20"/>
          <w:color w:val="auto"/>
        </w:rPr>
      </w:pPr>
      <w:r>
        <w:rPr>
          <w:rFonts w:ascii="Arial" w:cs="Arial" w:eastAsia="Arial" w:hAnsi="Arial"/>
          <w:sz w:val="17"/>
          <w:szCs w:val="17"/>
          <w:color w:val="auto"/>
        </w:rPr>
        <w:t>Date of Report (Date of earliest event reported): December 22, 2017</w:t>
      </w:r>
    </w:p>
    <w:p>
      <w:pPr>
        <w:spacing w:after="0" w:line="35"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ectPr>
          <w:pgSz w:w="11900" w:h="16838" w:orient="portrait"/>
          <w:cols w:equalWidth="0" w:num="1">
            <w:col w:w="11420"/>
          </w:cols>
          <w:pgMar w:left="240" w:top="666" w:right="239" w:bottom="1440" w:gutter="0" w:footer="0" w:header="0"/>
        </w:sectPr>
      </w:pPr>
    </w:p>
    <w:p>
      <w:pPr>
        <w:spacing w:after="0" w:line="200" w:lineRule="exact"/>
        <w:rPr>
          <w:sz w:val="24"/>
          <w:szCs w:val="24"/>
          <w:color w:val="auto"/>
        </w:rPr>
      </w:pPr>
    </w:p>
    <w:p>
      <w:pPr>
        <w:spacing w:after="0" w:line="246"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20" w:space="720"/>
            <w:col w:w="2560"/>
          </w:cols>
          <w:pgMar w:left="240" w:top="666"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666"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60"/>
          </w:cols>
          <w:pgMar w:left="240" w:top="666"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191770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ExlService Holdings, Inc. (the “Company”), through a wholly owned subsidiary, completed the acquisition of substantially all of the assets, and certain trade payables and contract liabilities related thereto, of Health Integrated, Inc. (“Health Integrated”), a Florida based care management company that provides end-to-end technology and analytics-enabled care management services including case management, utilization management, disease management, special needs programs, and multi-chronic care management on behalf of health plans.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consideration consisted of (a) $22 million in cash, subject to a customary working capital adjustment and (b) the ability for Health Integrated to earn up to $5 million in cash as an earn-out, based on the achievement of certain performance goals by the Health Integrated business acquired by the Company during the 2018 calendar year. A portion of the purchase consideration otherwise payable was placed into escrow as security for the post-closing working capital adjustments and the indemnification obligations under the acquisition agreement. The Company paid the purchase price with a combination of cash on hand and borrowings from its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February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Nancy Saltzman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40"/>
      </w:cols>
      <w:pgMar w:left="240" w:top="1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2019-12-07T00:04:19Z</dcterms:created>
  <dcterms:modified xsi:type="dcterms:W3CDTF">2019-12-07T00:04:19Z</dcterms:modified>
</cp:coreProperties>
</file>