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9"/>
          <w:szCs w:val="19"/>
          <w:b w:val="1"/>
          <w:bCs w:val="1"/>
          <w:color w:val="auto"/>
        </w:rPr>
        <w:t>Pursuant to Sections 13 or 15(d) of the Securities Exchange Act of 1934</w:t>
      </w:r>
    </w:p>
    <w:p>
      <w:pPr>
        <w:spacing w:after="0" w:line="187"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May 10,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600"/>
          </w:cols>
          <w:pgMar w:left="240" w:top="395" w:right="105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56" w:lineRule="exact"/>
        <w:rPr>
          <w:sz w:val="24"/>
          <w:szCs w:val="24"/>
          <w:color w:val="auto"/>
        </w:rPr>
      </w:pPr>
    </w:p>
    <w:p>
      <w:pPr>
        <w:sectPr>
          <w:pgSz w:w="11900" w:h="16838" w:orient="portrait"/>
          <w:cols w:equalWidth="0" w:num="3">
            <w:col w:w="4740" w:space="720"/>
            <w:col w:w="3000" w:space="720"/>
            <w:col w:w="1420"/>
          </w:cols>
          <w:pgMar w:left="240" w:top="395" w:right="105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2" w:lineRule="exact"/>
        <w:rPr>
          <w:sz w:val="24"/>
          <w:szCs w:val="24"/>
          <w:color w:val="auto"/>
        </w:rPr>
      </w:pPr>
    </w:p>
    <w:p>
      <w:pPr>
        <w:sectPr>
          <w:pgSz w:w="11900" w:h="16838" w:orient="portrait"/>
          <w:cols w:equalWidth="0" w:num="3">
            <w:col w:w="4340" w:space="720"/>
            <w:col w:w="3280" w:space="720"/>
            <w:col w:w="1540"/>
          </w:cols>
          <w:pgMar w:left="240" w:top="395" w:right="1059" w:bottom="1440" w:gutter="0" w:footer="0" w:header="0"/>
          <w:type w:val="continuous"/>
        </w:sectPr>
      </w:pPr>
    </w:p>
    <w:p>
      <w:pPr>
        <w:spacing w:after="0" w:line="218"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39"/>
        <w:spacing w:after="0"/>
        <w:rPr>
          <w:sz w:val="20"/>
          <w:szCs w:val="20"/>
          <w:color w:val="auto"/>
        </w:rPr>
      </w:pPr>
      <w:r>
        <w:rPr>
          <w:rFonts w:ascii="Arial" w:cs="Arial" w:eastAsia="Arial" w:hAnsi="Arial"/>
          <w:sz w:val="15"/>
          <w:szCs w:val="15"/>
          <w:b w:val="1"/>
          <w:bCs w:val="1"/>
          <w:color w:val="auto"/>
        </w:rPr>
        <w:t>Registrant’s telephone number, including area code: (212) 277-7100</w:t>
      </w:r>
    </w:p>
    <w:p>
      <w:pPr>
        <w:spacing w:after="0" w:line="20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ectPr>
          <w:pgSz w:w="11900" w:h="16838" w:orient="portrait"/>
          <w:cols w:equalWidth="0" w:num="1">
            <w:col w:w="10600"/>
          </w:cols>
          <w:pgMar w:left="240" w:top="395" w:right="1059" w:bottom="1440" w:gutter="0" w:footer="0" w:header="0"/>
          <w:type w:val="continuous"/>
        </w:sectPr>
      </w:pPr>
    </w:p>
    <w:p>
      <w:pPr>
        <w:spacing w:after="0" w:line="14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95"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May 10, 2007, ExlService Holdings, Inc. (the “Company”) reported its results of operations for the three months ended March 31, 2007. A copy of the press release issued by the Company concerning the foregoing is furnished herewith as Exhibit 99.1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840" w:type="dxa"/>
            <w:vAlign w:val="bottom"/>
            <w:gridSpan w:val="2"/>
          </w:tcPr>
          <w:p>
            <w:pPr>
              <w:ind w:left="720"/>
              <w:spacing w:after="0"/>
              <w:rPr>
                <w:sz w:val="20"/>
                <w:szCs w:val="20"/>
                <w:color w:val="auto"/>
              </w:rPr>
            </w:pPr>
            <w:r>
              <w:rPr>
                <w:rFonts w:ascii="Arial" w:cs="Arial" w:eastAsia="Arial" w:hAnsi="Arial"/>
                <w:sz w:val="14"/>
                <w:szCs w:val="14"/>
                <w:b w:val="1"/>
                <w:bCs w:val="1"/>
                <w:color w:val="auto"/>
              </w:rPr>
              <w:t>Exhibit</w:t>
            </w:r>
          </w:p>
        </w:tc>
      </w:tr>
      <w:tr>
        <w:trPr>
          <w:trHeight w:val="20"/>
        </w:trPr>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120" w:type="dxa"/>
            <w:vAlign w:val="bottom"/>
            <w:shd w:val="clear" w:color="auto" w:fill="000000"/>
          </w:tcPr>
          <w:p>
            <w:pPr>
              <w:spacing w:after="0" w:line="20" w:lineRule="exact"/>
              <w:rPr>
                <w:sz w:val="1"/>
                <w:szCs w:val="1"/>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Press Release, dated May 10, 2007</w:t>
            </w:r>
          </w:p>
        </w:tc>
      </w:tr>
    </w:tbl>
    <w:p>
      <w:pPr>
        <w:sectPr>
          <w:pgSz w:w="11900" w:h="16838" w:orient="portrait"/>
          <w:cols w:equalWidth="0" w:num="1">
            <w:col w:w="11300"/>
          </w:cols>
          <w:pgMar w:left="240" w:top="27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35"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10, 2007</w:t>
      </w:r>
      <w:r>
        <w:rPr>
          <w:sz w:val="20"/>
          <w:szCs w:val="20"/>
          <w:color w:val="auto"/>
        </w:rPr>
        <w:tab/>
      </w:r>
      <w:r>
        <w:rPr>
          <w:rFonts w:ascii="Arial" w:cs="Arial" w:eastAsia="Arial" w:hAnsi="Arial"/>
          <w:sz w:val="16"/>
          <w:szCs w:val="16"/>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10795</wp:posOffset>
            </wp:positionV>
            <wp:extent cx="3353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Amit Shashank</w:t>
      </w:r>
    </w:p>
    <w:p>
      <w:pPr>
        <w:spacing w:after="0" w:line="9" w:lineRule="exact"/>
        <w:rPr>
          <w:sz w:val="20"/>
          <w:szCs w:val="20"/>
          <w:color w:val="auto"/>
        </w:rPr>
      </w:pPr>
    </w:p>
    <w:p>
      <w:pPr>
        <w:ind w:left="6140"/>
        <w:spacing w:after="0"/>
        <w:tabs>
          <w:tab w:leader="none" w:pos="6700" w:val="left"/>
        </w:tabs>
        <w:rPr>
          <w:sz w:val="20"/>
          <w:szCs w:val="20"/>
          <w:color w:val="auto"/>
        </w:rPr>
      </w:pPr>
      <w:r>
        <w:rPr>
          <w:rFonts w:ascii="Arial" w:cs="Arial" w:eastAsia="Arial" w:hAnsi="Arial"/>
          <w:sz w:val="18"/>
          <w:szCs w:val="18"/>
          <w:color w:val="auto"/>
        </w:rPr>
        <w:t>Title:</w:t>
        <w:tab/>
        <w:t>Vice President, General Counsel and</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780" w:type="dxa"/>
            <w:vAlign w:val="bottom"/>
          </w:tcPr>
          <w:p>
            <w:pPr>
              <w:spacing w:after="0"/>
              <w:rPr>
                <w:sz w:val="15"/>
                <w:szCs w:val="15"/>
                <w:color w:val="auto"/>
              </w:rPr>
            </w:pPr>
          </w:p>
        </w:tc>
        <w:tc>
          <w:tcPr>
            <w:tcW w:w="9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dated May 10, 2007</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17220" cy="720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NY 10022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25" w:right="23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ExlService Holdings, Inc.</w:t>
      </w:r>
    </w:p>
    <w:p>
      <w:pPr>
        <w:spacing w:after="0" w:line="32" w:lineRule="exact"/>
        <w:rPr>
          <w:sz w:val="20"/>
          <w:szCs w:val="20"/>
          <w:color w:val="auto"/>
        </w:rPr>
      </w:pPr>
    </w:p>
    <w:p>
      <w:pPr>
        <w:ind w:right="3998"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Press</w:t>
      </w:r>
      <w:r>
        <w:rPr>
          <w:rFonts w:ascii="Arial" w:cs="Arial" w:eastAsia="Arial" w:hAnsi="Arial"/>
          <w:sz w:val="16"/>
          <w:szCs w:val="16"/>
          <w:color w:val="auto"/>
        </w:rPr>
        <w:t>: Kerry Kelly-Guiliano</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8"/>
          <w:szCs w:val="18"/>
          <w:color w:val="auto"/>
        </w:rPr>
        <w:t>Financial Dynamics</w:t>
      </w:r>
    </w:p>
    <w:p>
      <w:pPr>
        <w:spacing w:after="0" w:line="9" w:lineRule="exact"/>
        <w:rPr>
          <w:sz w:val="20"/>
          <w:szCs w:val="20"/>
          <w:color w:val="auto"/>
        </w:rPr>
      </w:pPr>
    </w:p>
    <w:p>
      <w:pPr>
        <w:ind w:left="2" w:right="3720" w:hanging="2"/>
        <w:spacing w:after="0" w:line="323" w:lineRule="auto"/>
        <w:tabs>
          <w:tab w:leader="none" w:pos="42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747-3603 </w:t>
      </w:r>
      <w:r>
        <w:rPr>
          <w:rFonts w:ascii="Arial" w:cs="Arial" w:eastAsia="Arial" w:hAnsi="Arial"/>
          <w:sz w:val="16"/>
          <w:szCs w:val="16"/>
          <w:u w:val="single" w:color="auto"/>
          <w:color w:val="auto"/>
        </w:rPr>
        <w:t>kerry.guiliano@fd.com</w:t>
      </w:r>
    </w:p>
    <w:p>
      <w:pPr>
        <w:spacing w:after="0" w:line="416" w:lineRule="exact"/>
        <w:rPr>
          <w:sz w:val="20"/>
          <w:szCs w:val="20"/>
          <w:color w:val="auto"/>
        </w:rPr>
      </w:pPr>
    </w:p>
    <w:p>
      <w:pPr>
        <w:sectPr>
          <w:pgSz w:w="11900" w:h="16838" w:orient="portrait"/>
          <w:cols w:equalWidth="0" w:num="2">
            <w:col w:w="5338" w:space="720"/>
            <w:col w:w="5362"/>
          </w:cols>
          <w:pgMar w:left="240" w:top="125" w:right="23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 REPORTS 2007 FIRST QUARTER RESULTS</w:t>
      </w:r>
    </w:p>
    <w:p>
      <w:pPr>
        <w:spacing w:after="0" w:line="177"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New York, NY – May 10, 2007 – ExlService Holdings, Inc. (NASDAQ: EXLS), a recognized provider of offshore solutions, including business process outsourcing, research and analytics and advisory services, today announced its financial results for the quarter ended March 31, 2007.</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highlights for the first quarter of 2007 include:</w:t>
      </w:r>
    </w:p>
    <w:p>
      <w:pPr>
        <w:spacing w:after="0" w:line="84" w:lineRule="exact"/>
        <w:rPr>
          <w:sz w:val="20"/>
          <w:szCs w:val="20"/>
          <w:color w:val="auto"/>
        </w:rPr>
      </w:pPr>
    </w:p>
    <w:p>
      <w:pPr>
        <w:ind w:left="900" w:right="200" w:hanging="325"/>
        <w:spacing w:after="0" w:line="275"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for the quarter increased 85% to $39.9 million from $21.6 million in the first quarter of 2006 comprised of 65% organic revenue growth and 20% acquisition-related revenue growth.</w:t>
      </w:r>
    </w:p>
    <w:p>
      <w:pPr>
        <w:spacing w:after="0" w:line="38" w:lineRule="exact"/>
        <w:rPr>
          <w:rFonts w:ascii="Arial" w:cs="Arial" w:eastAsia="Arial" w:hAnsi="Arial"/>
          <w:sz w:val="18"/>
          <w:szCs w:val="18"/>
          <w:b w:val="1"/>
          <w:bCs w:val="1"/>
          <w:color w:val="auto"/>
        </w:rPr>
      </w:pPr>
    </w:p>
    <w:p>
      <w:pPr>
        <w:ind w:left="900" w:hanging="325"/>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was 38.6% compared to 35.3% in the first quarter of 2006.</w:t>
      </w:r>
    </w:p>
    <w:p>
      <w:pPr>
        <w:spacing w:after="0" w:line="90" w:lineRule="exact"/>
        <w:rPr>
          <w:rFonts w:ascii="Arial" w:cs="Arial" w:eastAsia="Arial" w:hAnsi="Arial"/>
          <w:sz w:val="18"/>
          <w:szCs w:val="18"/>
          <w:b w:val="1"/>
          <w:bCs w:val="1"/>
          <w:color w:val="auto"/>
        </w:rPr>
      </w:pPr>
    </w:p>
    <w:p>
      <w:pPr>
        <w:ind w:left="900" w:right="400" w:hanging="325"/>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12.4% compared to 6.5% in the first quarter of 2006; adjusted operating margin for the quarter, excluding the impact of stock-based compensation expense and amortization of intangibles, was 15.9% compared to 7.5% in the first quarter of 2006.</w:t>
      </w:r>
    </w:p>
    <w:p>
      <w:pPr>
        <w:spacing w:after="0" w:line="51" w:lineRule="exact"/>
        <w:rPr>
          <w:rFonts w:ascii="Arial" w:cs="Arial" w:eastAsia="Arial" w:hAnsi="Arial"/>
          <w:sz w:val="18"/>
          <w:szCs w:val="18"/>
          <w:b w:val="1"/>
          <w:bCs w:val="1"/>
          <w:color w:val="auto"/>
        </w:rPr>
      </w:pPr>
    </w:p>
    <w:p>
      <w:pPr>
        <w:ind w:left="900" w:right="260" w:hanging="325"/>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to common stockholders for the quarter was $5.4 million compared to $1.9 million in the first quarter of 2006; net income to common stockholders for the quarter includes stock-based compensation expense and amortization of intangibles of $1.4 million and $0.2 million in the first quarter of 2007 and 2006,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adjusted financial measures to GAAP are included at the end of this release.</w:t>
      </w:r>
    </w:p>
    <w:p>
      <w:pPr>
        <w:spacing w:after="0" w:line="17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Vikram Talwar, CEO and Vice-Chairman of EXL, commented: “EXL delivered a strong quarter both financially and operationally. I am enthusiastic about the continued rapid growth in our BPO business during the quarter. The research and analytics business experienced a slow quarter due to a reduction in project-based work, however we continue to succeed in cross-selling our BPO, research and analytics and advisory services to EXL’s clients. Our world-class research and analytics and advisory services continue to be strong differentiators for us in the marketplace.”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Matt Appel, CFO of EXL, commented: “EXL’s first quarter results reflect revenue growth of 85% year over year and strong operating margins that significantly exceeded our expectations for the quarter. Our first quarter results were driven by continued rapid growth and operating leverage in our BPO and advisory business lines. Despite the slowdown for the quarter in the research and analytics business line, EXL delivered operating profit margins that were almost 400 basis points above our stated guidance.”</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Rohit Kapoor, President of EXL, commented: “The strategic investments we continue to make in our business are expected to enable sustainable and profitable long-term growth. Based on continuing strong demand we are accelerating our infrastructure planning and investment, hiring aggressively at the middle and senior management levels in both operations and enabling functions, and continuing to invest in the sales and marketing and relationship management functions. We expect these investments to deliver attractive, sustainable returns.”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First Quarter 2007</w:t>
      </w:r>
    </w:p>
    <w:p>
      <w:pPr>
        <w:spacing w:after="0" w:line="96" w:lineRule="exact"/>
        <w:rPr>
          <w:sz w:val="20"/>
          <w:szCs w:val="20"/>
          <w:color w:val="auto"/>
        </w:rPr>
      </w:pPr>
    </w:p>
    <w:p>
      <w:pPr>
        <w:ind w:left="900" w:right="2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for the quarter ended March 31, 2007 increased 85% to $39.9 million from $21.6 million in the quarter ended March 31, 2006. BPO revenue for the quarter of $32.7 million reflects organic growth of 67% year over year. Research and analytics revenue for the quarter of $4.2 million is not comparable with the first quarter of 2006 since the size of this business line was not significant. Advisory revenue of $2.9 million for the quarter reflects organic growth of 100% year over year.</w:t>
      </w:r>
    </w:p>
    <w:p>
      <w:pPr>
        <w:spacing w:after="0" w:line="62" w:lineRule="exact"/>
        <w:rPr>
          <w:rFonts w:ascii="Arial" w:cs="Arial" w:eastAsia="Arial" w:hAnsi="Arial"/>
          <w:sz w:val="18"/>
          <w:szCs w:val="18"/>
          <w:color w:val="auto"/>
        </w:rPr>
      </w:pPr>
    </w:p>
    <w:p>
      <w:pPr>
        <w:jc w:val="both"/>
        <w:ind w:left="900" w:right="160" w:hanging="325"/>
        <w:spacing w:after="0" w:line="323"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Gross margin for the quarter ended March 31, 2007 was 38.6% compared to 35.3% in the quarter ended March 31, 2006. Gross margins exceeded expectation primarily as a result of continued revenue growth and strong infrastructure utilization in our BPO business. BPO gross margins for the quarter were 42.4%. Research and analytics gross margins for the quarter of 13.4% reflected the impact of lower revenues. Advisory gross margins for the quarter were 32.3% reflecting strong growth and the impact of costs attributable to staff and management additions.</w:t>
      </w:r>
    </w:p>
    <w:p>
      <w:pPr>
        <w:spacing w:after="0" w:line="16" w:lineRule="exact"/>
        <w:rPr>
          <w:rFonts w:ascii="Arial" w:cs="Arial" w:eastAsia="Arial" w:hAnsi="Arial"/>
          <w:sz w:val="15"/>
          <w:szCs w:val="15"/>
          <w:color w:val="auto"/>
        </w:rPr>
      </w:pPr>
    </w:p>
    <w:p>
      <w:pPr>
        <w:ind w:left="900" w:hanging="325"/>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margin for the quarter ended March 31, 2007 was 12.4%, compared to 6.5% in the quarter ended March 31, 2006. Adjusted operating margin, excluding the impact of stock-based compensation expense and amortization of intangibles, for the quarter ended March 31, 2007 was 15.9% compared to 7.5% in the quarter ended March 31, 2006. Operating margin was negatively impacted by the reduction in gross margins in the research and analytics business line.</w:t>
      </w:r>
    </w:p>
    <w:p>
      <w:pPr>
        <w:spacing w:after="0" w:line="6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to common stockholders for the quarter ended March 31, 2007 was $5.4 million compared to $1.9 million in the quarter ended March 31, 2006; net income to common stockholders for the quarter includes stock-based compensation expense and amortization of intangibles of $1.4 million and $0.2 million in the first quarter of 2007 and 2006, respectively.</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generated from our largest client was 28% of total revenues for the quarter ended March 31, 2007 compared to 46% for the quarter ended March 31, 2006. Revenue generated from our three largest clients was 59% of total revenues for the quarter ended March 31, 2007 compared to 66% for the quarter ended March 31, 2006.</w:t>
      </w:r>
    </w:p>
    <w:p>
      <w:pPr>
        <w:spacing w:after="0" w:line="59"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Note: Results may not be comparable due to the inclusion of the financial results of Inductis, Inc. in our consolidated financial statements from July 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First Quarter 2007</w:t>
      </w:r>
    </w:p>
    <w:p>
      <w:pPr>
        <w:spacing w:after="0" w:line="96" w:lineRule="exact"/>
        <w:rPr>
          <w:sz w:val="20"/>
          <w:szCs w:val="20"/>
          <w:color w:val="auto"/>
        </w:rPr>
      </w:pPr>
    </w:p>
    <w:p>
      <w:pPr>
        <w:ind w:left="900" w:right="8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BPO business line continued to experience rapid revenue growth and grew 11% compared to the preceding quarter while maintaining operational excellence across all major client relationships.</w:t>
      </w:r>
    </w:p>
    <w:p>
      <w:pPr>
        <w:spacing w:after="0" w:line="50"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research and analytics business line experienced a significant reduction in project-based revenue from a major customer during the quarter. However, this business line continued to win new business involving services that are long-term in nature. For example, we signed a three-year agreement to provide modeling and claims analytics services for a leading U.S. insurance company. The research and analytics business line earned revenue from ten new clients in the first quarter in addition to cross-selling to three clients that were existing BPO clients.</w:t>
      </w:r>
    </w:p>
    <w:p>
      <w:pPr>
        <w:spacing w:after="0" w:line="31" w:lineRule="exact"/>
        <w:rPr>
          <w:rFonts w:ascii="Arial" w:cs="Arial" w:eastAsia="Arial" w:hAnsi="Arial"/>
          <w:sz w:val="16"/>
          <w:szCs w:val="16"/>
          <w:color w:val="auto"/>
        </w:rPr>
      </w:pPr>
    </w:p>
    <w:p>
      <w:pPr>
        <w:ind w:left="900" w:right="2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advisory business line achieved record quarterly revenues and successfully mitigated the seasonality the business has historically experienced by diversifying its service offerings. During the quarter, our advisory business line increased the scope of its finance and accounting services for a leading insurance company and expanded its compliance assistance for a global mail management company.</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of March 31, 2007, EXL had approximately 9,000 total employees, an increase of 45% from approximately 6,200 total employees at March 31, 2006. The Company’s headcount during the first quarter of 2007 increased by approximately 800 employees from the end of the preceding quarter. The attrition rate for billable employees during the first quarter of 2007 was 43.7% as compared to 41.9% in the fourth quarter of 2006. We believe that the nominal increase in attrition is the result of an increasingly competitive environment for our India-based employees and does not pose a risk to service delivery quality for our clients.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year 2007 revenue and adjusted operating margin guidance remain unchanged.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quarter of 2007 expectation that operating margin will be negatively impacted by currency movements and softness in the research and analytics business line.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EXL will host a conference call on Thursday, May 10,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listen to the conference call via phone, please dial +1-888-873-4896 or 1-617-213-8850 and reference “EXLS”. For those who cannot access the live broadcast, a replay will be available by dialing +1-888-286-8010 or +1-617-801-6888 and entering “38402507” from two hours after the end of the call until 11:59 p.m. (EST) on May 24, 2007. The replay will also be available at the EXL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 xml:space="preserve">ExlService Holdings, Inc. (NASDAQ: EXLS), is a recognized provider of offshore solutions including business process outsourcing (BPO), research and analytics and advisory services. It primarily serves the needs of Global 1000 companies in the banking, financial services and insurance sector. EXL is headquartered at 350 Park Avenue, New York, NY.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2006. These risks could cause actual results to differ materially from those implied by forward-looking statements in this release.</w:t>
      </w:r>
    </w:p>
    <w:p>
      <w:pPr>
        <w:spacing w:after="0" w:line="124"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39,854,448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21,557,984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24,481,968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13,945,943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15,372,480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7,612,041</w:t>
            </w:r>
          </w:p>
        </w:tc>
        <w:tc>
          <w:tcPr>
            <w:tcW w:w="60" w:type="dxa"/>
            <w:vAlign w:val="bottom"/>
            <w:shd w:val="clear" w:color="auto" w:fill="CCEEFF"/>
          </w:tcPr>
          <w:p>
            <w:pPr>
              <w:spacing w:after="0"/>
              <w:rPr>
                <w:sz w:val="18"/>
                <w:szCs w:val="18"/>
                <w:color w:val="auto"/>
              </w:rPr>
            </w:pPr>
          </w:p>
        </w:tc>
      </w:tr>
      <w:tr>
        <w:trPr>
          <w:trHeight w:val="438"/>
        </w:trPr>
        <w:tc>
          <w:tcPr>
            <w:tcW w:w="92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6,035,547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3,675,030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1,963,530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762,191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2,440,902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1,764,731</w:t>
            </w:r>
          </w:p>
        </w:tc>
        <w:tc>
          <w:tcPr>
            <w:tcW w:w="60" w:type="dxa"/>
            <w:vAlign w:val="bottom"/>
            <w:shd w:val="clear" w:color="auto" w:fill="CCEEFF"/>
          </w:tcPr>
          <w:p>
            <w:pPr>
              <w:spacing w:after="0"/>
              <w:rPr>
                <w:sz w:val="18"/>
                <w:szCs w:val="18"/>
                <w:color w:val="auto"/>
              </w:rPr>
            </w:pPr>
          </w:p>
        </w:tc>
      </w:tr>
      <w:tr>
        <w:trPr>
          <w:trHeight w:val="230"/>
        </w:trPr>
        <w:tc>
          <w:tcPr>
            <w:tcW w:w="928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10,439,979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6,201,952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4,932,501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1,410,089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400,821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1,007,802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237,623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(102,019)</w:t>
            </w:r>
          </w:p>
        </w:tc>
      </w:tr>
      <w:tr>
        <w:trPr>
          <w:trHeight w:val="221"/>
        </w:trPr>
        <w:tc>
          <w:tcPr>
            <w:tcW w:w="928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6,492,889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1,946,514</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(166,768)</w:t>
            </w:r>
          </w:p>
        </w:tc>
      </w:tr>
      <w:tr>
        <w:trPr>
          <w:trHeight w:val="221"/>
        </w:trPr>
        <w:tc>
          <w:tcPr>
            <w:tcW w:w="92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2,113,282</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(168,728)</w:t>
            </w:r>
          </w:p>
        </w:tc>
      </w:tr>
      <w:tr>
        <w:trPr>
          <w:trHeight w:val="222"/>
        </w:trPr>
        <w:tc>
          <w:tcPr>
            <w:tcW w:w="9280" w:type="dxa"/>
            <w:vAlign w:val="bottom"/>
            <w:gridSpan w:val="3"/>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5,408,626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1,944,554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28,141,321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21,211,012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29,084,264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21,683,116</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number of shares and earnings per share data as at March 31, 2006 has been adjusted to reflect the stock split and conversion effected by the Company in connection with its October 2006 initial public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7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73,927,180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w w:val="97"/>
              </w:rPr>
              <w:t>Accounts receivable, net of allowance for doubtful accounts of $22,539 at March 31, 2007 and $100,828 at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December 31, 2006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34,995,770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3,479,167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117,778,324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23,429,313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Intangibles, net of amortization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16,585,487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5,488,745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166,268,589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3,032,113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5,864,736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5,752,992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1,793,281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25,019,559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195,501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non current liabilities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25,669,071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 $0.001 par value; 100,000,000 shares authorized, 28,609,638 shares issued and outstanding as of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2007 and 28,262,289 shares issued and outstanding as of December 31, 2006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104,772,151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34,073,274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140,605,034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40" w:type="dxa"/>
            <w:vAlign w:val="bottom"/>
          </w:tcPr>
          <w:p>
            <w:pPr>
              <w:ind w:left="420"/>
              <w:spacing w:after="0"/>
              <w:rPr>
                <w:sz w:val="20"/>
                <w:szCs w:val="20"/>
                <w:color w:val="auto"/>
              </w:rPr>
            </w:pPr>
            <w:r>
              <w:rPr>
                <w:rFonts w:ascii="Arial" w:cs="Arial" w:eastAsia="Arial" w:hAnsi="Arial"/>
                <w:sz w:val="18"/>
                <w:szCs w:val="18"/>
                <w:color w:val="auto"/>
              </w:rPr>
              <w:t>Less: 149,138 shares as at March 31, 2007 and December 31, 2006, held in treasury, at cost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140,569,518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166,268,589</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To supplement the consolidated financial statements presented in accordance with GAAP, this press release includes the following measures defined by the Securities and Exchange Commission as non-GAAP financial measures: non-GAAP operating margin and non-GAAP diluted earnings per share. These non-GAAP measures are not based on any comprehensive set of accounting rules or principles and should not be considered a substitute for, or superior to, financial measures calculated in accordance with GAAP, and may be different from non-GAAP measures used by other companies. In addition, these non-GAAP measures, the financial statements prepared in accordance with GAAP and reconciliations of EXL’s GAAP financial statements to such non-GAAP measures should be carefully evaluated.</w:t>
      </w:r>
    </w:p>
    <w:p>
      <w:pPr>
        <w:spacing w:after="0" w:line="144"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i w:val="1"/>
          <w:iCs w:val="1"/>
          <w:color w:val="auto"/>
        </w:rPr>
        <w:t>For its internal management reporting and budgeting purposes, EXL’s management uses financial statements that do not include stock-based compensation expense related to employee stock options and amortization of acquisition-related intangibles for financial and operational decision making, to evaluate period-to-period comparisons or for making comparisons of EXL’s operating results to that of its competitors. Moreover, because of varying available valuation methodologies, subjective assumptions and the variety of award types that companies can use when adopting FAS 123(R), EXL’s management believes that providing a non-GAAP financial measure that excludes stock-based compensation and amortization of acquisition-related intangibles allows investors to make additional comparisons between EXL’s operating results to those of other companies.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Accordingly, EXL believes that the presentation of non-GAAP operating margin and non-GAAP diluted earnings per share, when read in conjunction with the Company’s reported results, can provide useful supplemental information to investors and management regarding financial and business trends relating to its financial condition and results of operations.</w:t>
      </w:r>
    </w:p>
    <w:p>
      <w:pPr>
        <w:spacing w:after="0" w:line="109"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i w:val="1"/>
          <w:iCs w:val="1"/>
          <w:color w:val="auto"/>
        </w:rPr>
        <w:t>A limitation of using non-GAAP operating margin and non-GAAP diluted earnings per share versus operating margin and diluted earnings per share calculated in accordance with GAAP is that non-GAAP operating margin and non-GAAP diluted earnings per share exclude costs, namely, stock-based compensation, that are recurring. Stock-based compensation has been and will continue to be a significant recurring expense in EXL’s business for the foreseeable future.</w:t>
      </w:r>
    </w:p>
    <w:p>
      <w:pPr>
        <w:spacing w:after="0" w:line="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i w:val="1"/>
          <w:iCs w:val="1"/>
          <w:color w:val="auto"/>
        </w:rPr>
        <w:t>Management compensates for this limitation by providing specific information regarding the GAAP amounts excluded from non-GAAP operating margin and non-GAAP diluted earnings per share and evaluating such non-GAAP financial measures with financial measures calculated in accordance with GAAP.</w:t>
      </w:r>
    </w:p>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for the three month periods ended March 31, 2007 and March 31, 2006:</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March 31,</w:t>
            </w:r>
          </w:p>
        </w:tc>
        <w:tc>
          <w:tcPr>
            <w:tcW w:w="5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Three Months Ended March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2007</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4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4"/>
              </w:rPr>
              <w:t>Adjustments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39,854</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0"/>
              </w:rPr>
              <w:t>39,854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w w:val="87"/>
              </w:rPr>
              <w:t>21,558</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21,558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1"/>
              </w:rPr>
              <w:t>Cost of revenues (exclusive of 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24,482</w:t>
            </w:r>
          </w:p>
        </w:tc>
        <w:tc>
          <w:tcPr>
            <w:tcW w:w="460" w:type="dxa"/>
            <w:vAlign w:val="bottom"/>
          </w:tcPr>
          <w:p>
            <w:pPr>
              <w:spacing w:after="0"/>
              <w:rPr>
                <w:sz w:val="18"/>
                <w:szCs w:val="18"/>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b w:val="1"/>
                <w:bCs w:val="1"/>
                <w:color w:val="auto"/>
              </w:rPr>
              <w:t>(212)(a)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0"/>
              </w:rPr>
              <w:t>24,270</w:t>
            </w:r>
          </w:p>
        </w:tc>
        <w:tc>
          <w:tcPr>
            <w:tcW w:w="100" w:type="dxa"/>
            <w:vAlign w:val="bottom"/>
          </w:tcPr>
          <w:p>
            <w:pPr>
              <w:spacing w:after="0"/>
              <w:rPr>
                <w:sz w:val="18"/>
                <w:szCs w:val="18"/>
                <w:color w:val="auto"/>
              </w:rPr>
            </w:pPr>
          </w:p>
        </w:tc>
        <w:tc>
          <w:tcPr>
            <w:tcW w:w="9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w w:val="87"/>
              </w:rPr>
              <w:t>13,946</w:t>
            </w:r>
          </w:p>
        </w:tc>
        <w:tc>
          <w:tcPr>
            <w:tcW w:w="134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13,946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15,372</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0"/>
              </w:rPr>
              <w:t>15,584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7,612</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7,612</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38.6%</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i w:val="1"/>
                <w:iCs w:val="1"/>
                <w:color w:val="auto"/>
              </w:rPr>
              <w:t>39.1%</w:t>
            </w: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35.3%</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7,998</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(616)(a)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7,382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4,437</w:t>
            </w:r>
          </w:p>
        </w:tc>
        <w:tc>
          <w:tcPr>
            <w:tcW w:w="13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(200)(a)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4,237</w:t>
            </w:r>
          </w:p>
        </w:tc>
        <w:tc>
          <w:tcPr>
            <w:tcW w:w="0" w:type="dxa"/>
            <w:vAlign w:val="bottom"/>
          </w:tcPr>
          <w:p>
            <w:pPr>
              <w:spacing w:after="0"/>
              <w:rPr>
                <w:sz w:val="1"/>
                <w:szCs w:val="1"/>
                <w:color w:val="auto"/>
              </w:rPr>
            </w:pPr>
          </w:p>
        </w:tc>
      </w:tr>
      <w:tr>
        <w:trPr>
          <w:trHeight w:val="323"/>
        </w:trPr>
        <w:tc>
          <w:tcPr>
            <w:tcW w:w="4520" w:type="dxa"/>
            <w:vAlign w:val="bottom"/>
            <w:gridSpan w:val="3"/>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2,441</w:t>
            </w:r>
          </w:p>
        </w:tc>
        <w:tc>
          <w:tcPr>
            <w:tcW w:w="460" w:type="dxa"/>
            <w:vAlign w:val="bottom"/>
          </w:tcPr>
          <w:p>
            <w:pPr>
              <w:spacing w:after="0"/>
              <w:rPr>
                <w:sz w:val="24"/>
                <w:szCs w:val="24"/>
                <w:color w:val="auto"/>
              </w:rPr>
            </w:pPr>
          </w:p>
        </w:tc>
        <w:tc>
          <w:tcPr>
            <w:tcW w:w="1180" w:type="dxa"/>
            <w:vAlign w:val="bottom"/>
            <w:gridSpan w:val="2"/>
          </w:tcPr>
          <w:p>
            <w:pPr>
              <w:ind w:left="420"/>
              <w:spacing w:after="0"/>
              <w:rPr>
                <w:sz w:val="20"/>
                <w:szCs w:val="20"/>
                <w:color w:val="auto"/>
              </w:rPr>
            </w:pPr>
            <w:r>
              <w:rPr>
                <w:rFonts w:ascii="Arial" w:cs="Arial" w:eastAsia="Arial" w:hAnsi="Arial"/>
                <w:sz w:val="18"/>
                <w:szCs w:val="18"/>
                <w:b w:val="1"/>
                <w:bCs w:val="1"/>
                <w:color w:val="auto"/>
              </w:rPr>
              <w:t>(590)(b)</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1,851</w:t>
            </w:r>
          </w:p>
        </w:tc>
        <w:tc>
          <w:tcPr>
            <w:tcW w:w="100" w:type="dxa"/>
            <w:vAlign w:val="bottom"/>
          </w:tcPr>
          <w:p>
            <w:pPr>
              <w:spacing w:after="0"/>
              <w:rPr>
                <w:sz w:val="24"/>
                <w:szCs w:val="24"/>
                <w:color w:val="auto"/>
              </w:rPr>
            </w:pPr>
          </w:p>
        </w:tc>
        <w:tc>
          <w:tcPr>
            <w:tcW w:w="96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1,765</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1,765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4,933</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6,351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1,410</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1,610</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Operating Margin %</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12.4%</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i w:val="1"/>
                <w:iCs w:val="1"/>
                <w:color w:val="auto"/>
              </w:rPr>
              <w:t>15.9%</w:t>
            </w: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6.5%</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exclude amortization of intangibles recorded in the quarter ending March 31, 2007 in connection with the Inductis acquisition.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Note: The income statement for the three months ended March 31, 2006 does not include Inductis, Inc.</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12"/>
    </w:lvl>
  </w:abstractNum>
  <w:abstractNum w:abstractNumId="2">
    <w:nsid w:val="507ED7AB"/>
    <w:multiLevelType w:val="hybridMultilevel"/>
    <w:lvl w:ilvl="0">
      <w:lvlJc w:val="left"/>
      <w:lvlText w:val="(%1)"/>
      <w:numFmt w:val="decimal"/>
      <w:start w:val="617"/>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2019-12-12T03:33:47Z</dcterms:created>
  <dcterms:modified xsi:type="dcterms:W3CDTF">2019-12-12T03:33:47Z</dcterms:modified>
</cp:coreProperties>
</file>